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468" w:lineRule="atLeast"/>
        <w:ind w:left="0" w:right="0"/>
        <w:jc w:val="center"/>
        <w:rPr>
          <w:rFonts w:ascii="微软雅黑" w:hAnsi="微软雅黑" w:eastAsia="微软雅黑" w:cs="微软雅黑"/>
          <w:color w:val="191919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191919"/>
          <w:spacing w:val="0"/>
          <w:sz w:val="26"/>
          <w:szCs w:val="26"/>
          <w:bdr w:val="none" w:color="auto" w:sz="0" w:space="0"/>
        </w:rPr>
        <w:t>郑州大学2023年硕士研究生调剂复试结果综合排序公示表（学硕）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0"/>
          <w:szCs w:val="10"/>
          <w:bdr w:val="none" w:color="auto" w:sz="0" w:space="0"/>
          <w:lang w:val="en-US" w:eastAsia="zh-CN" w:bidi="ar"/>
        </w:rPr>
        <w:t>作者：| 发布时间：2023-04-07</w:t>
      </w:r>
    </w:p>
    <w:tbl>
      <w:tblPr>
        <w:tblW w:w="1088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0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92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郑州大学</w:t>
            </w:r>
            <w:r>
              <w:rPr>
                <w:rFonts w:ascii="Times New Roman" w:hAnsi="Times New Roman" w:eastAsia="微软雅黑" w:cs="Times New Roman"/>
                <w:sz w:val="29"/>
                <w:szCs w:val="2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年硕士研究生</w:t>
            </w:r>
            <w:r>
              <w:rPr>
                <w:rFonts w:hint="eastAsia" w:ascii="微软雅黑" w:hAnsi="微软雅黑" w:eastAsia="微软雅黑" w:cs="微软雅黑"/>
                <w:sz w:val="29"/>
                <w:szCs w:val="29"/>
                <w:bdr w:val="none" w:color="auto" w:sz="0" w:space="0"/>
              </w:rPr>
              <w:t>调剂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复试结果综合排序公示表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6"/>
                <w:szCs w:val="16"/>
                <w:bdr w:val="none" w:color="auto" w:sz="0" w:space="0"/>
              </w:rPr>
              <w:t>1.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专业名称和招生计划：</w:t>
            </w: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130400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美术学（调剂拟录取</w:t>
            </w: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人）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6"/>
                <w:szCs w:val="16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综合排序（初试成绩折合为百分制后，与复试成绩按相应的权重相加为综合成绩，降序排列）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822"/>
        <w:gridCol w:w="1227"/>
        <w:gridCol w:w="1427"/>
        <w:gridCol w:w="1481"/>
        <w:gridCol w:w="1671"/>
        <w:gridCol w:w="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综合排序序号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初试成绩（折合后）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复试成绩（折合后）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晓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美术学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22.92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64.89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87.81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刘明磊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美术学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21.78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64.82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86.60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王怡霄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美术学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21.72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64.47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sz w:val="14"/>
                <w:szCs w:val="14"/>
                <w:bdr w:val="none" w:color="auto" w:sz="0" w:space="0"/>
              </w:rPr>
              <w:t>86.19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 w:line="36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备注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此公示仅为复试综合排序公示，如若并列按初试成绩排序，拟录取名单还需通过院（系）资格审查、上报国家录检系统审查无误后由研究生院统一公示。复试不合格不予录取，不予录取的考生须在备注栏中注明。联培计划、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少数民族骨干专项计划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”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及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退役大学生士兵计划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”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考生单独公示。专业计划后续如有增加将按序依次录取。初试成绩占比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30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%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，复试成绩占比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70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single"/>
          <w:bdr w:val="none" w:color="auto" w:sz="0" w:space="0"/>
        </w:rPr>
        <w:t>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%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6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423</Characters>
  <Lines>0</Lines>
  <Paragraphs>0</Paragraphs>
  <TotalTime>0</TotalTime>
  <ScaleCrop>false</ScaleCrop>
  <LinksUpToDate>false</LinksUpToDate>
  <CharactersWithSpaces>430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2023-04-15T04:12:57Z</dcterms:created>
  <dc:creator>Administrator</dc:creator>
  <cp:lastModifiedBy>王英</cp:lastModifiedBy>
  <dcterms:modified xsi:type="dcterms:W3CDTF">2023-04-15T04:13:09Z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4BE9892CEB5E47C6AB81805EB704D1C2</vt:lpwstr>
  </property>
</Properties>
</file>