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ind w:left="0" w:firstLine="0"/>
        <w:jc w:val="center"/>
        <w:rPr>
          <w:rFonts w:ascii="微软雅黑" w:hAnsi="微软雅黑" w:eastAsia="微软雅黑" w:cs="微软雅黑"/>
          <w:i w:val="0"/>
          <w:iCs w:val="0"/>
          <w:caps w:val="0"/>
          <w:color w:val="000000"/>
          <w:spacing w:val="0"/>
          <w:sz w:val="27"/>
          <w:szCs w:val="27"/>
        </w:rPr>
      </w:pPr>
      <w:r>
        <w:rPr>
          <w:rStyle w:val="5"/>
          <w:rFonts w:ascii="华文中宋" w:hAnsi="华文中宋" w:eastAsia="华文中宋" w:cs="华文中宋"/>
          <w:i w:val="0"/>
          <w:iCs w:val="0"/>
          <w:caps w:val="0"/>
          <w:color w:val="000000"/>
          <w:spacing w:val="0"/>
          <w:sz w:val="28"/>
          <w:szCs w:val="28"/>
          <w:shd w:val="clear" w:fill="FFFFFF"/>
        </w:rPr>
        <w:t>郑州大学材料科学与工程学院、河南省资源与材料工业技术研究院</w:t>
      </w:r>
    </w:p>
    <w:p>
      <w:pPr>
        <w:pStyle w:val="2"/>
        <w:keepNext w:val="0"/>
        <w:keepLines w:val="0"/>
        <w:widowControl/>
        <w:suppressLineNumbers w:val="0"/>
        <w:shd w:val="clear" w:fill="FFFFFF"/>
        <w:ind w:left="0" w:firstLine="0"/>
        <w:jc w:val="center"/>
        <w:rPr>
          <w:rFonts w:hint="eastAsia" w:ascii="微软雅黑" w:hAnsi="微软雅黑" w:eastAsia="微软雅黑" w:cs="微软雅黑"/>
          <w:i w:val="0"/>
          <w:iCs w:val="0"/>
          <w:caps w:val="0"/>
          <w:color w:val="000000"/>
          <w:spacing w:val="0"/>
          <w:sz w:val="27"/>
          <w:szCs w:val="27"/>
        </w:rPr>
      </w:pPr>
      <w:r>
        <w:rPr>
          <w:rStyle w:val="5"/>
          <w:rFonts w:hint="eastAsia" w:ascii="华文中宋" w:hAnsi="华文中宋" w:eastAsia="华文中宋" w:cs="华文中宋"/>
          <w:i w:val="0"/>
          <w:iCs w:val="0"/>
          <w:caps w:val="0"/>
          <w:color w:val="000000"/>
          <w:spacing w:val="0"/>
          <w:sz w:val="28"/>
          <w:szCs w:val="28"/>
          <w:shd w:val="clear" w:fill="FFFFFF"/>
        </w:rPr>
        <w:t>关于2023年硕士研究生招生</w:t>
      </w:r>
      <w:r>
        <w:rPr>
          <w:rStyle w:val="5"/>
          <w:rFonts w:hint="eastAsia" w:ascii="华文中宋" w:hAnsi="华文中宋" w:eastAsia="华文中宋" w:cs="华文中宋"/>
          <w:i w:val="0"/>
          <w:iCs w:val="0"/>
          <w:caps w:val="0"/>
          <w:color w:val="FF0000"/>
          <w:spacing w:val="0"/>
          <w:sz w:val="28"/>
          <w:szCs w:val="28"/>
          <w:shd w:val="clear" w:fill="FFFFFF"/>
        </w:rPr>
        <w:t>调剂缺额</w:t>
      </w:r>
      <w:r>
        <w:rPr>
          <w:rStyle w:val="5"/>
          <w:rFonts w:hint="eastAsia" w:ascii="华文中宋" w:hAnsi="华文中宋" w:eastAsia="华文中宋" w:cs="华文中宋"/>
          <w:i w:val="0"/>
          <w:iCs w:val="0"/>
          <w:caps w:val="0"/>
          <w:color w:val="000000"/>
          <w:spacing w:val="0"/>
          <w:sz w:val="28"/>
          <w:szCs w:val="28"/>
          <w:shd w:val="clear" w:fill="FFFFFF"/>
        </w:rPr>
        <w:t>通知</w:t>
      </w:r>
    </w:p>
    <w:p>
      <w:pPr>
        <w:keepNext w:val="0"/>
        <w:keepLines w:val="0"/>
        <w:widowControl/>
        <w:suppressLineNumbers w:val="0"/>
        <w:shd w:val="clear" w:fill="FFFFFF"/>
        <w:ind w:left="0" w:firstLine="0"/>
        <w:jc w:val="center"/>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kern w:val="0"/>
          <w:sz w:val="18"/>
          <w:szCs w:val="18"/>
          <w:shd w:val="clear" w:fill="FFFFFF"/>
          <w:lang w:val="en-US" w:eastAsia="zh-CN" w:bidi="ar"/>
        </w:rPr>
        <w:t>2023年03月27日  </w:t>
      </w:r>
      <w:r>
        <w:rPr>
          <w:rFonts w:hint="eastAsia" w:ascii="微软雅黑" w:hAnsi="微软雅黑" w:eastAsia="微软雅黑" w:cs="微软雅黑"/>
          <w:i w:val="0"/>
          <w:iCs w:val="0"/>
          <w:caps w:val="0"/>
          <w:color w:val="222222"/>
          <w:spacing w:val="0"/>
          <w:kern w:val="0"/>
          <w:sz w:val="18"/>
          <w:szCs w:val="18"/>
          <w:shd w:val="clear" w:fill="FFFFFF"/>
          <w:lang w:val="en-US" w:eastAsia="zh-CN" w:bidi="ar"/>
        </w:rPr>
        <w:t>点击：[12391]</w:t>
      </w:r>
    </w:p>
    <w:p>
      <w:pPr>
        <w:keepNext w:val="0"/>
        <w:keepLines w:val="0"/>
        <w:widowControl/>
        <w:suppressLineNumbers w:val="0"/>
        <w:shd w:val="clear" w:fill="FFFFFF"/>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pict>
          <v:rect id="_x0000_i1025" o:spt="1" style="height:1.5pt;width:432pt;" fillcolor="#000000" filled="t" stroked="f" coordsize="21600,21600" o:hr="t" o:hrstd="t" o:hrnoshade="t" o:hralign="center">
            <v:path/>
            <v:fill on="t" focussize="0,0"/>
            <v:stroke on="f"/>
            <v:imagedata o:title=""/>
            <o:lock v:ext="edit"/>
            <w10:wrap type="none"/>
            <w10:anchorlock/>
          </v:rect>
        </w:pict>
      </w:r>
    </w:p>
    <w:p>
      <w:pPr>
        <w:pStyle w:val="2"/>
        <w:keepNext w:val="0"/>
        <w:keepLines w:val="0"/>
        <w:widowControl/>
        <w:suppressLineNumbers w:val="0"/>
        <w:shd w:val="clear" w:fill="FFFFFF"/>
        <w:spacing w:before="0" w:beforeAutospacing="0" w:line="315" w:lineRule="atLeast"/>
        <w:ind w:left="0" w:firstLine="384"/>
        <w:jc w:val="both"/>
      </w:pPr>
      <w:r>
        <w:rPr>
          <w:rFonts w:hint="eastAsia" w:ascii="微软雅黑" w:hAnsi="微软雅黑" w:eastAsia="微软雅黑" w:cs="微软雅黑"/>
          <w:i w:val="0"/>
          <w:iCs w:val="0"/>
          <w:caps w:val="0"/>
          <w:color w:val="000000"/>
          <w:spacing w:val="0"/>
          <w:sz w:val="21"/>
          <w:szCs w:val="21"/>
          <w:shd w:val="clear" w:fill="FFFFFF"/>
        </w:rPr>
        <w:t>根据2023年全国硕士研究生招生考试考生进入复试的初试成绩基本要求，我院部分专业有缺额，欢迎广大优秀考生申请调剂至我院学习深造。考生初试单科及总分成绩均须达到我院复试分数线要求方可申请调剂。理学（高分子化学与物理专业）调剂考生按初试总成绩进行排序，工学（材料科学与工程、材料与化工专业）调剂考生按初试前三科成绩之和进行排序，按不低于120%的比例进入复试。</w:t>
      </w:r>
    </w:p>
    <w:p>
      <w:pPr>
        <w:pStyle w:val="2"/>
        <w:keepNext w:val="0"/>
        <w:keepLines w:val="0"/>
        <w:widowControl/>
        <w:suppressLineNumbers w:val="0"/>
        <w:shd w:val="clear" w:fill="FFFFFF"/>
        <w:spacing w:before="0" w:beforeAutospacing="0" w:line="315" w:lineRule="atLeast"/>
      </w:pPr>
      <w:r>
        <w:rPr>
          <w:rFonts w:ascii="黑体" w:hAnsi="宋体" w:eastAsia="黑体" w:cs="黑体"/>
          <w:i w:val="0"/>
          <w:iCs w:val="0"/>
          <w:caps w:val="0"/>
          <w:color w:val="000000"/>
          <w:spacing w:val="0"/>
          <w:sz w:val="21"/>
          <w:szCs w:val="21"/>
          <w:shd w:val="clear" w:fill="FFFFFF"/>
        </w:rPr>
        <w:t>一、调剂基本条件</w:t>
      </w:r>
    </w:p>
    <w:p>
      <w:pPr>
        <w:pStyle w:val="2"/>
        <w:keepNext w:val="0"/>
        <w:keepLines w:val="0"/>
        <w:widowControl/>
        <w:suppressLineNumbers w:val="0"/>
        <w:shd w:val="clear" w:fill="FFFFFF"/>
        <w:spacing w:line="315" w:lineRule="atLeast"/>
        <w:ind w:left="0" w:firstLine="384"/>
      </w:pPr>
      <w:r>
        <w:rPr>
          <w:rFonts w:hint="eastAsia" w:ascii="微软雅黑" w:hAnsi="微软雅黑" w:eastAsia="微软雅黑" w:cs="微软雅黑"/>
          <w:i w:val="0"/>
          <w:iCs w:val="0"/>
          <w:caps w:val="0"/>
          <w:color w:val="000000"/>
          <w:spacing w:val="0"/>
          <w:sz w:val="21"/>
          <w:szCs w:val="21"/>
          <w:shd w:val="clear" w:fill="FFFFFF"/>
        </w:rPr>
        <w:t>必须符合我校相关专业报考条件（详见郑州大学研究生院网站《郑州大学2023年攻读硕士学位研究生招生简章》）和上级相关文件的要求。</w:t>
      </w:r>
    </w:p>
    <w:p>
      <w:pPr>
        <w:pStyle w:val="2"/>
        <w:keepNext w:val="0"/>
        <w:keepLines w:val="0"/>
        <w:widowControl/>
        <w:suppressLineNumbers w:val="0"/>
        <w:shd w:val="clear" w:fill="FFFFFF"/>
        <w:spacing w:line="315" w:lineRule="atLeast"/>
        <w:ind w:left="0" w:firstLine="384"/>
      </w:pPr>
      <w:r>
        <w:rPr>
          <w:rFonts w:hint="eastAsia" w:ascii="微软雅黑" w:hAnsi="微软雅黑" w:eastAsia="微软雅黑" w:cs="微软雅黑"/>
          <w:i w:val="0"/>
          <w:iCs w:val="0"/>
          <w:caps w:val="0"/>
          <w:color w:val="000000"/>
          <w:spacing w:val="0"/>
          <w:sz w:val="21"/>
          <w:szCs w:val="21"/>
          <w:shd w:val="clear" w:fill="FFFFFF"/>
        </w:rPr>
        <w:t>必须满足前置学历为本科。</w:t>
      </w:r>
    </w:p>
    <w:p>
      <w:pPr>
        <w:pStyle w:val="2"/>
        <w:keepNext w:val="0"/>
        <w:keepLines w:val="0"/>
        <w:widowControl/>
        <w:suppressLineNumbers w:val="0"/>
        <w:shd w:val="clear" w:fill="FFFFFF"/>
        <w:spacing w:line="315" w:lineRule="atLeast"/>
        <w:ind w:left="0" w:firstLine="384"/>
      </w:pPr>
      <w:r>
        <w:rPr>
          <w:rFonts w:hint="eastAsia" w:ascii="微软雅黑" w:hAnsi="微软雅黑" w:eastAsia="微软雅黑" w:cs="微软雅黑"/>
          <w:i w:val="0"/>
          <w:iCs w:val="0"/>
          <w:caps w:val="0"/>
          <w:color w:val="000000"/>
          <w:spacing w:val="0"/>
          <w:sz w:val="21"/>
          <w:szCs w:val="21"/>
          <w:shd w:val="clear" w:fill="FFFFFF"/>
        </w:rPr>
        <w:t>必须满足“</w:t>
      </w:r>
      <w:r>
        <w:rPr>
          <w:rStyle w:val="5"/>
          <w:rFonts w:hint="eastAsia" w:ascii="微软雅黑" w:hAnsi="微软雅黑" w:eastAsia="微软雅黑" w:cs="微软雅黑"/>
          <w:i w:val="0"/>
          <w:iCs w:val="0"/>
          <w:caps w:val="0"/>
          <w:color w:val="000000"/>
          <w:spacing w:val="0"/>
          <w:sz w:val="21"/>
          <w:szCs w:val="21"/>
          <w:shd w:val="clear" w:fill="FFFFFF"/>
        </w:rPr>
        <w:t>双过线</w:t>
      </w:r>
      <w:r>
        <w:rPr>
          <w:rFonts w:hint="eastAsia" w:ascii="微软雅黑" w:hAnsi="微软雅黑" w:eastAsia="微软雅黑" w:cs="微软雅黑"/>
          <w:i w:val="0"/>
          <w:iCs w:val="0"/>
          <w:caps w:val="0"/>
          <w:color w:val="000000"/>
          <w:spacing w:val="0"/>
          <w:sz w:val="21"/>
          <w:szCs w:val="21"/>
          <w:shd w:val="clear" w:fill="FFFFFF"/>
        </w:rPr>
        <w:t>”，即同时满足</w:t>
      </w:r>
      <w:r>
        <w:rPr>
          <w:rStyle w:val="5"/>
          <w:rFonts w:hint="eastAsia" w:ascii="微软雅黑" w:hAnsi="微软雅黑" w:eastAsia="微软雅黑" w:cs="微软雅黑"/>
          <w:i w:val="0"/>
          <w:iCs w:val="0"/>
          <w:caps w:val="0"/>
          <w:color w:val="000000"/>
          <w:spacing w:val="0"/>
          <w:sz w:val="21"/>
          <w:szCs w:val="21"/>
          <w:shd w:val="clear" w:fill="FFFFFF"/>
        </w:rPr>
        <w:t>我院</w:t>
      </w:r>
      <w:r>
        <w:rPr>
          <w:rFonts w:hint="eastAsia" w:ascii="微软雅黑" w:hAnsi="微软雅黑" w:eastAsia="微软雅黑" w:cs="微软雅黑"/>
          <w:i w:val="0"/>
          <w:iCs w:val="0"/>
          <w:caps w:val="0"/>
          <w:color w:val="000000"/>
          <w:spacing w:val="0"/>
          <w:sz w:val="21"/>
          <w:szCs w:val="21"/>
          <w:shd w:val="clear" w:fill="FFFFFF"/>
        </w:rPr>
        <w:t>对应专业的复试单科线和总分线。</w:t>
      </w:r>
    </w:p>
    <w:p>
      <w:pPr>
        <w:pStyle w:val="2"/>
        <w:keepNext w:val="0"/>
        <w:keepLines w:val="0"/>
        <w:widowControl/>
        <w:suppressLineNumbers w:val="0"/>
        <w:shd w:val="clear" w:fill="FFFFFF"/>
        <w:spacing w:line="315" w:lineRule="atLeast"/>
        <w:ind w:left="0" w:firstLine="384"/>
      </w:pPr>
      <w:r>
        <w:rPr>
          <w:rFonts w:hint="eastAsia" w:ascii="微软雅黑" w:hAnsi="微软雅黑" w:eastAsia="微软雅黑" w:cs="微软雅黑"/>
          <w:i w:val="0"/>
          <w:iCs w:val="0"/>
          <w:caps w:val="0"/>
          <w:color w:val="000000"/>
          <w:spacing w:val="0"/>
          <w:sz w:val="21"/>
          <w:szCs w:val="21"/>
          <w:shd w:val="clear" w:fill="FFFFFF"/>
        </w:rPr>
        <w:t>拟调剂我院的专业与考生第一志愿报考专业应相同或相近，且应在同一学科门类范围内。</w:t>
      </w:r>
    </w:p>
    <w:p>
      <w:pPr>
        <w:pStyle w:val="2"/>
        <w:keepNext w:val="0"/>
        <w:keepLines w:val="0"/>
        <w:widowControl/>
        <w:suppressLineNumbers w:val="0"/>
        <w:shd w:val="clear" w:fill="FFFFFF"/>
        <w:spacing w:line="315" w:lineRule="atLeast"/>
        <w:ind w:left="0" w:firstLine="384"/>
      </w:pPr>
      <w:r>
        <w:rPr>
          <w:rFonts w:hint="eastAsia" w:ascii="微软雅黑" w:hAnsi="微软雅黑" w:eastAsia="微软雅黑" w:cs="微软雅黑"/>
          <w:i w:val="0"/>
          <w:iCs w:val="0"/>
          <w:caps w:val="0"/>
          <w:color w:val="000000"/>
          <w:spacing w:val="0"/>
          <w:sz w:val="21"/>
          <w:szCs w:val="21"/>
          <w:shd w:val="clear" w:fill="FFFFFF"/>
        </w:rPr>
        <w:t>专业课初试科目与调剂专业初试科目相同或相近，工学专业初试全国统一命题科目中应该有数学一或数学二。</w:t>
      </w:r>
    </w:p>
    <w:p>
      <w:pPr>
        <w:pStyle w:val="2"/>
        <w:keepNext w:val="0"/>
        <w:keepLines w:val="0"/>
        <w:widowControl/>
        <w:suppressLineNumbers w:val="0"/>
        <w:shd w:val="clear" w:fill="FFFFFF"/>
        <w:spacing w:line="315" w:lineRule="atLeast"/>
        <w:ind w:left="0" w:firstLine="384"/>
      </w:pPr>
      <w:r>
        <w:rPr>
          <w:rFonts w:hint="eastAsia" w:ascii="微软雅黑" w:hAnsi="微软雅黑" w:eastAsia="微软雅黑" w:cs="微软雅黑"/>
          <w:i w:val="0"/>
          <w:iCs w:val="0"/>
          <w:caps w:val="0"/>
          <w:color w:val="000000"/>
          <w:spacing w:val="0"/>
          <w:sz w:val="21"/>
          <w:szCs w:val="21"/>
          <w:shd w:val="clear" w:fill="FFFFFF"/>
        </w:rPr>
        <w:t>只接收英语一语种的调剂考生。</w:t>
      </w:r>
    </w:p>
    <w:p>
      <w:pPr>
        <w:pStyle w:val="2"/>
        <w:keepNext w:val="0"/>
        <w:keepLines w:val="0"/>
        <w:widowControl/>
        <w:suppressLineNumbers w:val="0"/>
        <w:shd w:val="clear" w:fill="FFFFFF"/>
        <w:spacing w:before="0" w:beforeAutospacing="0" w:line="315" w:lineRule="atLeast"/>
      </w:pPr>
      <w:r>
        <w:rPr>
          <w:rFonts w:hint="eastAsia" w:ascii="黑体" w:hAnsi="宋体" w:eastAsia="黑体" w:cs="黑体"/>
          <w:i w:val="0"/>
          <w:iCs w:val="0"/>
          <w:caps w:val="0"/>
          <w:color w:val="000000"/>
          <w:spacing w:val="0"/>
          <w:sz w:val="21"/>
          <w:szCs w:val="21"/>
          <w:shd w:val="clear" w:fill="FFFFFF"/>
        </w:rPr>
        <w:t>二、调剂专业</w:t>
      </w:r>
    </w:p>
    <w:tbl>
      <w:tblPr>
        <w:tblW w:w="7308"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04"/>
        <w:gridCol w:w="1150"/>
        <w:gridCol w:w="1882"/>
        <w:gridCol w:w="36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56" w:hRule="atLeast"/>
          <w:tblCellSpacing w:w="0" w:type="dxa"/>
          <w:jc w:val="center"/>
        </w:trPr>
        <w:tc>
          <w:tcPr>
            <w:tcW w:w="684"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jc w:val="center"/>
            </w:pPr>
            <w:r>
              <w:rPr>
                <w:rStyle w:val="5"/>
                <w:rFonts w:hint="eastAsia" w:ascii="宋体" w:hAnsi="宋体" w:eastAsia="宋体" w:cs="宋体"/>
                <w:sz w:val="19"/>
                <w:szCs w:val="19"/>
                <w:bdr w:val="none" w:color="auto" w:sz="0" w:space="0"/>
              </w:rPr>
              <w:t>序号</w:t>
            </w:r>
          </w:p>
        </w:tc>
        <w:tc>
          <w:tcPr>
            <w:tcW w:w="1140" w:type="dxa"/>
            <w:tcBorders>
              <w:top w:val="single" w:color="auto" w:sz="4" w:space="0"/>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jc w:val="center"/>
            </w:pPr>
            <w:r>
              <w:rPr>
                <w:rStyle w:val="5"/>
                <w:rFonts w:hint="eastAsia" w:ascii="宋体" w:hAnsi="宋体" w:eastAsia="宋体" w:cs="宋体"/>
                <w:sz w:val="19"/>
                <w:szCs w:val="19"/>
                <w:bdr w:val="none" w:color="auto" w:sz="0" w:space="0"/>
              </w:rPr>
              <w:t>专业代码</w:t>
            </w:r>
          </w:p>
        </w:tc>
        <w:tc>
          <w:tcPr>
            <w:tcW w:w="1872" w:type="dxa"/>
            <w:tcBorders>
              <w:top w:val="single" w:color="auto" w:sz="4" w:space="0"/>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jc w:val="center"/>
            </w:pPr>
            <w:r>
              <w:rPr>
                <w:rStyle w:val="5"/>
                <w:rFonts w:hint="eastAsia" w:ascii="宋体" w:hAnsi="宋体" w:eastAsia="宋体" w:cs="宋体"/>
                <w:sz w:val="19"/>
                <w:szCs w:val="19"/>
                <w:bdr w:val="none" w:color="auto" w:sz="0" w:space="0"/>
              </w:rPr>
              <w:t>专业名称</w:t>
            </w:r>
          </w:p>
        </w:tc>
        <w:tc>
          <w:tcPr>
            <w:tcW w:w="3612" w:type="dxa"/>
            <w:tcBorders>
              <w:top w:val="single" w:color="auto" w:sz="4" w:space="0"/>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jc w:val="center"/>
            </w:pPr>
            <w:r>
              <w:rPr>
                <w:rStyle w:val="5"/>
                <w:rFonts w:hint="eastAsia" w:ascii="宋体" w:hAnsi="宋体" w:eastAsia="宋体" w:cs="宋体"/>
                <w:sz w:val="19"/>
                <w:szCs w:val="19"/>
                <w:bdr w:val="none" w:color="auto" w:sz="0" w:space="0"/>
              </w:rPr>
              <w:t>研究方向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4" w:hRule="atLeast"/>
          <w:tblCellSpacing w:w="0" w:type="dxa"/>
          <w:jc w:val="center"/>
        </w:trPr>
        <w:tc>
          <w:tcPr>
            <w:tcW w:w="684" w:type="dxa"/>
            <w:vMerge w:val="restart"/>
            <w:tcBorders>
              <w:top w:val="nil"/>
              <w:left w:val="single" w:color="auto" w:sz="4" w:space="0"/>
              <w:bottom w:val="single" w:color="000000" w:sz="4" w:space="0"/>
              <w:right w:val="single" w:color="auto" w:sz="4" w:space="0"/>
            </w:tcBorders>
            <w:shd w:val="clear" w:color="auto" w:fill="FFFFFF"/>
            <w:noWrap/>
            <w:tcMar>
              <w:left w:w="84" w:type="dxa"/>
              <w:right w:w="84" w:type="dxa"/>
            </w:tcMar>
            <w:vAlign w:val="center"/>
          </w:tcPr>
          <w:p>
            <w:pPr>
              <w:pStyle w:val="2"/>
              <w:keepNext w:val="0"/>
              <w:keepLines w:val="0"/>
              <w:widowControl/>
              <w:suppressLineNumbers w:val="0"/>
              <w:jc w:val="center"/>
            </w:pPr>
            <w:r>
              <w:rPr>
                <w:color w:val="000000"/>
                <w:sz w:val="18"/>
                <w:szCs w:val="18"/>
                <w:bdr w:val="none" w:color="auto" w:sz="0" w:space="0"/>
                <w:lang w:val="en-US"/>
              </w:rPr>
              <w:t>1</w:t>
            </w:r>
          </w:p>
        </w:tc>
        <w:tc>
          <w:tcPr>
            <w:tcW w:w="1140" w:type="dxa"/>
            <w:vMerge w:val="restart"/>
            <w:tcBorders>
              <w:top w:val="nil"/>
              <w:left w:val="nil"/>
              <w:bottom w:val="single" w:color="000000" w:sz="4" w:space="0"/>
              <w:right w:val="single" w:color="auto" w:sz="4" w:space="0"/>
            </w:tcBorders>
            <w:shd w:val="clear" w:color="auto" w:fill="FFFFFF"/>
            <w:noWrap/>
            <w:tcMar>
              <w:left w:w="84" w:type="dxa"/>
              <w:right w:w="84" w:type="dxa"/>
            </w:tcMar>
            <w:vAlign w:val="center"/>
          </w:tcPr>
          <w:p>
            <w:pPr>
              <w:pStyle w:val="2"/>
              <w:keepNext w:val="0"/>
              <w:keepLines w:val="0"/>
              <w:widowControl/>
              <w:suppressLineNumbers w:val="0"/>
              <w:jc w:val="center"/>
            </w:pPr>
            <w:r>
              <w:rPr>
                <w:color w:val="000000"/>
                <w:sz w:val="18"/>
                <w:szCs w:val="18"/>
                <w:bdr w:val="none" w:color="auto" w:sz="0" w:space="0"/>
                <w:lang w:val="en-US"/>
              </w:rPr>
              <w:t>070305</w:t>
            </w:r>
          </w:p>
        </w:tc>
        <w:tc>
          <w:tcPr>
            <w:tcW w:w="1872" w:type="dxa"/>
            <w:vMerge w:val="restart"/>
            <w:tcBorders>
              <w:top w:val="nil"/>
              <w:left w:val="nil"/>
              <w:bottom w:val="single" w:color="000000" w:sz="4" w:space="0"/>
              <w:right w:val="single" w:color="auto" w:sz="4" w:space="0"/>
            </w:tcBorders>
            <w:shd w:val="clear" w:color="auto" w:fill="FFFFFF"/>
            <w:noWrap/>
            <w:tcMar>
              <w:left w:w="84" w:type="dxa"/>
              <w:right w:w="84" w:type="dxa"/>
            </w:tcMar>
            <w:vAlign w:val="center"/>
          </w:tcPr>
          <w:p>
            <w:pPr>
              <w:pStyle w:val="2"/>
              <w:keepNext w:val="0"/>
              <w:keepLines w:val="0"/>
              <w:widowControl/>
              <w:suppressLineNumbers w:val="0"/>
              <w:jc w:val="left"/>
            </w:pPr>
            <w:r>
              <w:rPr>
                <w:sz w:val="18"/>
                <w:szCs w:val="18"/>
                <w:bdr w:val="none" w:color="auto" w:sz="0" w:space="0"/>
              </w:rPr>
              <w:t>高分子化学与物理</w:t>
            </w:r>
          </w:p>
        </w:tc>
        <w:tc>
          <w:tcPr>
            <w:tcW w:w="3612" w:type="dxa"/>
            <w:tcBorders>
              <w:top w:val="nil"/>
              <w:left w:val="nil"/>
              <w:bottom w:val="single" w:color="auto" w:sz="4" w:space="0"/>
              <w:right w:val="single" w:color="auto" w:sz="4" w:space="0"/>
            </w:tcBorders>
            <w:shd w:val="clear" w:color="auto" w:fill="FFFFFF"/>
            <w:noWrap/>
            <w:tcMar>
              <w:left w:w="84" w:type="dxa"/>
              <w:right w:w="84" w:type="dxa"/>
            </w:tcMar>
            <w:vAlign w:val="center"/>
          </w:tcPr>
          <w:p>
            <w:pPr>
              <w:pStyle w:val="2"/>
              <w:keepNext w:val="0"/>
              <w:keepLines w:val="0"/>
              <w:widowControl/>
              <w:suppressLineNumbers w:val="0"/>
              <w:jc w:val="left"/>
            </w:pPr>
            <w:r>
              <w:rPr>
                <w:rFonts w:ascii="微软雅黑" w:hAnsi="微软雅黑" w:eastAsia="微软雅黑" w:cs="微软雅黑"/>
                <w:sz w:val="18"/>
                <w:szCs w:val="18"/>
                <w:bdr w:val="none" w:color="auto" w:sz="0" w:space="0"/>
                <w:lang w:val="en-US"/>
              </w:rPr>
              <w:t>01</w:t>
            </w:r>
            <w:r>
              <w:rPr>
                <w:rFonts w:hint="eastAsia" w:ascii="微软雅黑" w:hAnsi="微软雅黑" w:eastAsia="微软雅黑" w:cs="微软雅黑"/>
                <w:sz w:val="18"/>
                <w:szCs w:val="18"/>
                <w:bdr w:val="none" w:color="auto" w:sz="0" w:space="0"/>
                <w:lang w:val="en-US"/>
              </w:rPr>
              <w:t> </w:t>
            </w:r>
            <w:r>
              <w:rPr>
                <w:rFonts w:hint="eastAsia" w:ascii="微软雅黑" w:hAnsi="微软雅黑" w:eastAsia="微软雅黑" w:cs="微软雅黑"/>
                <w:sz w:val="18"/>
                <w:szCs w:val="18"/>
                <w:bdr w:val="none" w:color="auto" w:sz="0" w:space="0"/>
              </w:rPr>
              <w:t>高分子化学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4" w:hRule="atLeast"/>
          <w:tblCellSpacing w:w="0" w:type="dxa"/>
          <w:jc w:val="center"/>
        </w:trPr>
        <w:tc>
          <w:tcPr>
            <w:tcW w:w="684" w:type="dxa"/>
            <w:vMerge w:val="continue"/>
            <w:tcBorders>
              <w:top w:val="nil"/>
              <w:left w:val="single" w:color="auto" w:sz="4" w:space="0"/>
              <w:bottom w:val="single" w:color="000000" w:sz="4" w:space="0"/>
              <w:right w:val="single" w:color="auto" w:sz="4" w:space="0"/>
            </w:tcBorders>
            <w:shd w:val="clear" w:color="auto" w:fill="FFFFFF"/>
            <w:noWrap/>
            <w:tcMar>
              <w:left w:w="84" w:type="dxa"/>
              <w:right w:w="84" w:type="dxa"/>
            </w:tcMar>
            <w:vAlign w:val="center"/>
          </w:tcPr>
          <w:p>
            <w:pPr>
              <w:rPr>
                <w:rFonts w:hint="eastAsia" w:ascii="宋体"/>
                <w:sz w:val="24"/>
                <w:szCs w:val="24"/>
              </w:rPr>
            </w:pPr>
          </w:p>
        </w:tc>
        <w:tc>
          <w:tcPr>
            <w:tcW w:w="1140" w:type="dxa"/>
            <w:vMerge w:val="continue"/>
            <w:tcBorders>
              <w:top w:val="nil"/>
              <w:left w:val="nil"/>
              <w:bottom w:val="single" w:color="000000" w:sz="4" w:space="0"/>
              <w:right w:val="single" w:color="auto" w:sz="4" w:space="0"/>
            </w:tcBorders>
            <w:shd w:val="clear" w:color="auto" w:fill="FFFFFF"/>
            <w:noWrap/>
            <w:tcMar>
              <w:left w:w="84" w:type="dxa"/>
              <w:right w:w="84" w:type="dxa"/>
            </w:tcMar>
            <w:vAlign w:val="center"/>
          </w:tcPr>
          <w:p>
            <w:pPr>
              <w:rPr>
                <w:rFonts w:hint="eastAsia" w:ascii="宋体"/>
                <w:sz w:val="24"/>
                <w:szCs w:val="24"/>
              </w:rPr>
            </w:pPr>
          </w:p>
        </w:tc>
        <w:tc>
          <w:tcPr>
            <w:tcW w:w="1872" w:type="dxa"/>
            <w:vMerge w:val="continue"/>
            <w:tcBorders>
              <w:top w:val="nil"/>
              <w:left w:val="nil"/>
              <w:bottom w:val="single" w:color="000000" w:sz="4" w:space="0"/>
              <w:right w:val="single" w:color="auto" w:sz="4" w:space="0"/>
            </w:tcBorders>
            <w:shd w:val="clear" w:color="auto" w:fill="FFFFFF"/>
            <w:noWrap/>
            <w:tcMar>
              <w:left w:w="84" w:type="dxa"/>
              <w:right w:w="84" w:type="dxa"/>
            </w:tcMar>
            <w:vAlign w:val="center"/>
          </w:tcPr>
          <w:p>
            <w:pPr>
              <w:rPr>
                <w:rFonts w:hint="eastAsia" w:ascii="宋体"/>
                <w:sz w:val="24"/>
                <w:szCs w:val="24"/>
              </w:rPr>
            </w:pPr>
          </w:p>
        </w:tc>
        <w:tc>
          <w:tcPr>
            <w:tcW w:w="3612" w:type="dxa"/>
            <w:tcBorders>
              <w:top w:val="nil"/>
              <w:left w:val="nil"/>
              <w:bottom w:val="single" w:color="auto" w:sz="4" w:space="0"/>
              <w:right w:val="single" w:color="auto" w:sz="4" w:space="0"/>
            </w:tcBorders>
            <w:shd w:val="clear" w:color="auto" w:fill="FFFFFF"/>
            <w:noWrap/>
            <w:tcMar>
              <w:left w:w="84" w:type="dxa"/>
              <w:right w:w="84" w:type="dxa"/>
            </w:tcMar>
            <w:vAlign w:val="center"/>
          </w:tcPr>
          <w:p>
            <w:pPr>
              <w:pStyle w:val="2"/>
              <w:keepNext w:val="0"/>
              <w:keepLines w:val="0"/>
              <w:widowControl/>
              <w:suppressLineNumbers w:val="0"/>
              <w:jc w:val="left"/>
            </w:pPr>
            <w:r>
              <w:rPr>
                <w:rFonts w:hint="eastAsia" w:ascii="微软雅黑" w:hAnsi="微软雅黑" w:eastAsia="微软雅黑" w:cs="微软雅黑"/>
                <w:sz w:val="18"/>
                <w:szCs w:val="18"/>
                <w:bdr w:val="none" w:color="auto" w:sz="0" w:space="0"/>
                <w:lang w:val="en-US"/>
              </w:rPr>
              <w:t>02 </w:t>
            </w:r>
            <w:r>
              <w:rPr>
                <w:rFonts w:hint="eastAsia" w:ascii="微软雅黑" w:hAnsi="微软雅黑" w:eastAsia="微软雅黑" w:cs="微软雅黑"/>
                <w:sz w:val="18"/>
                <w:szCs w:val="18"/>
                <w:bdr w:val="none" w:color="auto" w:sz="0" w:space="0"/>
              </w:rPr>
              <w:t>高分子物理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4" w:hRule="atLeast"/>
          <w:tblCellSpacing w:w="0" w:type="dxa"/>
          <w:jc w:val="center"/>
        </w:trPr>
        <w:tc>
          <w:tcPr>
            <w:tcW w:w="684" w:type="dxa"/>
            <w:vMerge w:val="restart"/>
            <w:tcBorders>
              <w:top w:val="nil"/>
              <w:left w:val="single" w:color="auto" w:sz="4" w:space="0"/>
              <w:bottom w:val="nil"/>
              <w:right w:val="single" w:color="auto" w:sz="4" w:space="0"/>
            </w:tcBorders>
            <w:shd w:val="clear" w:color="auto" w:fill="FFFFFF"/>
            <w:noWrap/>
            <w:tcMar>
              <w:left w:w="84" w:type="dxa"/>
              <w:right w:w="84" w:type="dxa"/>
            </w:tcMar>
            <w:vAlign w:val="center"/>
          </w:tcPr>
          <w:p>
            <w:pPr>
              <w:pStyle w:val="2"/>
              <w:keepNext w:val="0"/>
              <w:keepLines w:val="0"/>
              <w:widowControl/>
              <w:suppressLineNumbers w:val="0"/>
              <w:jc w:val="center"/>
            </w:pPr>
            <w:r>
              <w:rPr>
                <w:color w:val="000000"/>
                <w:sz w:val="18"/>
                <w:szCs w:val="18"/>
                <w:bdr w:val="none" w:color="auto" w:sz="0" w:space="0"/>
                <w:lang w:val="en-US"/>
              </w:rPr>
              <w:t>2</w:t>
            </w:r>
          </w:p>
        </w:tc>
        <w:tc>
          <w:tcPr>
            <w:tcW w:w="1140" w:type="dxa"/>
            <w:vMerge w:val="restart"/>
            <w:tcBorders>
              <w:top w:val="nil"/>
              <w:left w:val="nil"/>
              <w:bottom w:val="single" w:color="000000" w:sz="4" w:space="0"/>
              <w:right w:val="single" w:color="auto" w:sz="4" w:space="0"/>
            </w:tcBorders>
            <w:shd w:val="clear" w:color="auto" w:fill="FFFFFF"/>
            <w:noWrap/>
            <w:tcMar>
              <w:left w:w="84" w:type="dxa"/>
              <w:right w:w="84" w:type="dxa"/>
            </w:tcMar>
            <w:vAlign w:val="center"/>
          </w:tcPr>
          <w:p>
            <w:pPr>
              <w:pStyle w:val="2"/>
              <w:keepNext w:val="0"/>
              <w:keepLines w:val="0"/>
              <w:widowControl/>
              <w:suppressLineNumbers w:val="0"/>
              <w:jc w:val="center"/>
            </w:pPr>
            <w:r>
              <w:rPr>
                <w:color w:val="000000"/>
                <w:sz w:val="18"/>
                <w:szCs w:val="18"/>
                <w:bdr w:val="none" w:color="auto" w:sz="0" w:space="0"/>
                <w:lang w:val="en-US"/>
              </w:rPr>
              <w:t>080500</w:t>
            </w:r>
          </w:p>
        </w:tc>
        <w:tc>
          <w:tcPr>
            <w:tcW w:w="1872" w:type="dxa"/>
            <w:vMerge w:val="restart"/>
            <w:tcBorders>
              <w:top w:val="nil"/>
              <w:left w:val="nil"/>
              <w:bottom w:val="nil"/>
              <w:right w:val="single" w:color="auto" w:sz="4" w:space="0"/>
            </w:tcBorders>
            <w:shd w:val="clear" w:color="auto" w:fill="FFFFFF"/>
            <w:tcMar>
              <w:left w:w="84" w:type="dxa"/>
              <w:right w:w="84" w:type="dxa"/>
            </w:tcMar>
            <w:vAlign w:val="center"/>
          </w:tcPr>
          <w:p>
            <w:pPr>
              <w:pStyle w:val="2"/>
              <w:keepNext w:val="0"/>
              <w:keepLines w:val="0"/>
              <w:widowControl/>
              <w:suppressLineNumbers w:val="0"/>
              <w:jc w:val="left"/>
            </w:pPr>
            <w:r>
              <w:rPr>
                <w:sz w:val="18"/>
                <w:szCs w:val="18"/>
                <w:bdr w:val="none" w:color="auto" w:sz="0" w:space="0"/>
              </w:rPr>
              <w:t>材料科学与工程</w:t>
            </w:r>
          </w:p>
        </w:tc>
        <w:tc>
          <w:tcPr>
            <w:tcW w:w="3612" w:type="dxa"/>
            <w:tcBorders>
              <w:top w:val="nil"/>
              <w:left w:val="nil"/>
              <w:bottom w:val="single" w:color="auto" w:sz="4" w:space="0"/>
              <w:right w:val="single" w:color="auto" w:sz="4" w:space="0"/>
            </w:tcBorders>
            <w:shd w:val="clear" w:color="auto" w:fill="FFFFFF"/>
            <w:noWrap/>
            <w:tcMar>
              <w:left w:w="84" w:type="dxa"/>
              <w:right w:w="84" w:type="dxa"/>
            </w:tcMar>
            <w:vAlign w:val="center"/>
          </w:tcPr>
          <w:p>
            <w:pPr>
              <w:pStyle w:val="2"/>
              <w:keepNext w:val="0"/>
              <w:keepLines w:val="0"/>
              <w:widowControl/>
              <w:suppressLineNumbers w:val="0"/>
              <w:jc w:val="left"/>
            </w:pPr>
            <w:r>
              <w:rPr>
                <w:rFonts w:hint="eastAsia" w:ascii="微软雅黑" w:hAnsi="微软雅黑" w:eastAsia="微软雅黑" w:cs="微软雅黑"/>
                <w:sz w:val="18"/>
                <w:szCs w:val="18"/>
                <w:bdr w:val="none" w:color="auto" w:sz="0" w:space="0"/>
                <w:lang w:val="en-US"/>
              </w:rPr>
              <w:t>01 </w:t>
            </w:r>
            <w:r>
              <w:rPr>
                <w:rFonts w:hint="eastAsia" w:ascii="微软雅黑" w:hAnsi="微软雅黑" w:eastAsia="微软雅黑" w:cs="微软雅黑"/>
                <w:sz w:val="18"/>
                <w:szCs w:val="18"/>
                <w:bdr w:val="none" w:color="auto" w:sz="0" w:space="0"/>
              </w:rPr>
              <w:t>高分子加工工程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4" w:hRule="atLeast"/>
          <w:tblCellSpacing w:w="0" w:type="dxa"/>
          <w:jc w:val="center"/>
        </w:trPr>
        <w:tc>
          <w:tcPr>
            <w:tcW w:w="684" w:type="dxa"/>
            <w:vMerge w:val="continue"/>
            <w:tcBorders>
              <w:top w:val="nil"/>
              <w:left w:val="single" w:color="auto" w:sz="4" w:space="0"/>
              <w:bottom w:val="nil"/>
              <w:right w:val="single" w:color="auto" w:sz="4" w:space="0"/>
            </w:tcBorders>
            <w:shd w:val="clear" w:color="auto" w:fill="FFFFFF"/>
            <w:noWrap/>
            <w:tcMar>
              <w:left w:w="84" w:type="dxa"/>
              <w:right w:w="84" w:type="dxa"/>
            </w:tcMar>
            <w:vAlign w:val="center"/>
          </w:tcPr>
          <w:p>
            <w:pPr>
              <w:rPr>
                <w:rFonts w:hint="eastAsia" w:ascii="宋体"/>
                <w:sz w:val="24"/>
                <w:szCs w:val="24"/>
              </w:rPr>
            </w:pPr>
          </w:p>
        </w:tc>
        <w:tc>
          <w:tcPr>
            <w:tcW w:w="1140" w:type="dxa"/>
            <w:vMerge w:val="continue"/>
            <w:tcBorders>
              <w:top w:val="nil"/>
              <w:left w:val="nil"/>
              <w:bottom w:val="single" w:color="000000" w:sz="4" w:space="0"/>
              <w:right w:val="single" w:color="auto" w:sz="4" w:space="0"/>
            </w:tcBorders>
            <w:shd w:val="clear" w:color="auto" w:fill="FFFFFF"/>
            <w:noWrap/>
            <w:tcMar>
              <w:left w:w="84" w:type="dxa"/>
              <w:right w:w="84" w:type="dxa"/>
            </w:tcMar>
            <w:vAlign w:val="center"/>
          </w:tcPr>
          <w:p>
            <w:pPr>
              <w:rPr>
                <w:rFonts w:hint="eastAsia" w:ascii="宋体"/>
                <w:sz w:val="24"/>
                <w:szCs w:val="24"/>
              </w:rPr>
            </w:pPr>
          </w:p>
        </w:tc>
        <w:tc>
          <w:tcPr>
            <w:tcW w:w="1872" w:type="dxa"/>
            <w:vMerge w:val="continue"/>
            <w:tcBorders>
              <w:top w:val="nil"/>
              <w:left w:val="nil"/>
              <w:bottom w:val="nil"/>
              <w:right w:val="single" w:color="auto" w:sz="4" w:space="0"/>
            </w:tcBorders>
            <w:shd w:val="clear" w:color="auto" w:fill="FFFFFF"/>
            <w:tcMar>
              <w:left w:w="84" w:type="dxa"/>
              <w:right w:w="84" w:type="dxa"/>
            </w:tcMar>
            <w:vAlign w:val="center"/>
          </w:tcPr>
          <w:p>
            <w:pPr>
              <w:rPr>
                <w:rFonts w:hint="eastAsia" w:ascii="宋体"/>
                <w:sz w:val="24"/>
                <w:szCs w:val="24"/>
              </w:rPr>
            </w:pPr>
          </w:p>
        </w:tc>
        <w:tc>
          <w:tcPr>
            <w:tcW w:w="3612" w:type="dxa"/>
            <w:tcBorders>
              <w:top w:val="nil"/>
              <w:left w:val="nil"/>
              <w:bottom w:val="single" w:color="auto" w:sz="4" w:space="0"/>
              <w:right w:val="single" w:color="auto" w:sz="4" w:space="0"/>
            </w:tcBorders>
            <w:shd w:val="clear" w:color="auto" w:fill="FFFFFF"/>
            <w:noWrap/>
            <w:tcMar>
              <w:left w:w="84" w:type="dxa"/>
              <w:right w:w="84" w:type="dxa"/>
            </w:tcMar>
            <w:vAlign w:val="center"/>
          </w:tcPr>
          <w:p>
            <w:pPr>
              <w:pStyle w:val="2"/>
              <w:keepNext w:val="0"/>
              <w:keepLines w:val="0"/>
              <w:widowControl/>
              <w:suppressLineNumbers w:val="0"/>
              <w:jc w:val="left"/>
            </w:pPr>
            <w:r>
              <w:rPr>
                <w:rFonts w:hint="eastAsia" w:ascii="微软雅黑" w:hAnsi="微软雅黑" w:eastAsia="微软雅黑" w:cs="微软雅黑"/>
                <w:sz w:val="18"/>
                <w:szCs w:val="18"/>
                <w:bdr w:val="none" w:color="auto" w:sz="0" w:space="0"/>
                <w:lang w:val="en-US"/>
              </w:rPr>
              <w:t>02 </w:t>
            </w:r>
            <w:r>
              <w:rPr>
                <w:rFonts w:hint="eastAsia" w:ascii="微软雅黑" w:hAnsi="微软雅黑" w:eastAsia="微软雅黑" w:cs="微软雅黑"/>
                <w:sz w:val="18"/>
                <w:szCs w:val="18"/>
                <w:bdr w:val="none" w:color="auto" w:sz="0" w:space="0"/>
              </w:rPr>
              <w:t>先进金属材料及加工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28" w:hRule="atLeast"/>
          <w:tblCellSpacing w:w="0" w:type="dxa"/>
          <w:jc w:val="center"/>
        </w:trPr>
        <w:tc>
          <w:tcPr>
            <w:tcW w:w="684" w:type="dxa"/>
            <w:vMerge w:val="restart"/>
            <w:tcBorders>
              <w:top w:val="single" w:color="auto" w:sz="4" w:space="0"/>
              <w:left w:val="single" w:color="auto" w:sz="4" w:space="0"/>
              <w:bottom w:val="single" w:color="auto" w:sz="4" w:space="0"/>
              <w:right w:val="single" w:color="auto" w:sz="4" w:space="0"/>
            </w:tcBorders>
            <w:shd w:val="clear" w:color="auto" w:fill="FFFFFF"/>
            <w:noWrap/>
            <w:tcMar>
              <w:left w:w="84" w:type="dxa"/>
              <w:right w:w="84" w:type="dxa"/>
            </w:tcMar>
            <w:vAlign w:val="center"/>
          </w:tcPr>
          <w:p>
            <w:pPr>
              <w:pStyle w:val="2"/>
              <w:keepNext w:val="0"/>
              <w:keepLines w:val="0"/>
              <w:widowControl/>
              <w:suppressLineNumbers w:val="0"/>
              <w:jc w:val="center"/>
            </w:pPr>
            <w:r>
              <w:rPr>
                <w:color w:val="000000"/>
                <w:sz w:val="18"/>
                <w:szCs w:val="18"/>
                <w:bdr w:val="none" w:color="auto" w:sz="0" w:space="0"/>
                <w:lang w:val="en-US"/>
              </w:rPr>
              <w:t>3</w:t>
            </w:r>
          </w:p>
        </w:tc>
        <w:tc>
          <w:tcPr>
            <w:tcW w:w="1140" w:type="dxa"/>
            <w:vMerge w:val="restart"/>
            <w:tcBorders>
              <w:top w:val="nil"/>
              <w:left w:val="nil"/>
              <w:bottom w:val="single" w:color="auto" w:sz="4" w:space="0"/>
              <w:right w:val="single" w:color="auto" w:sz="4" w:space="0"/>
            </w:tcBorders>
            <w:shd w:val="clear" w:color="auto" w:fill="FFFFFF"/>
            <w:noWrap/>
            <w:tcMar>
              <w:left w:w="84" w:type="dxa"/>
              <w:right w:w="84" w:type="dxa"/>
            </w:tcMar>
            <w:vAlign w:val="center"/>
          </w:tcPr>
          <w:p>
            <w:pPr>
              <w:pStyle w:val="2"/>
              <w:keepNext w:val="0"/>
              <w:keepLines w:val="0"/>
              <w:widowControl/>
              <w:suppressLineNumbers w:val="0"/>
              <w:jc w:val="center"/>
            </w:pPr>
            <w:r>
              <w:rPr>
                <w:color w:val="000000"/>
                <w:sz w:val="18"/>
                <w:szCs w:val="18"/>
                <w:bdr w:val="none" w:color="auto" w:sz="0" w:space="0"/>
                <w:lang w:val="en-US"/>
              </w:rPr>
              <w:t>085600</w:t>
            </w:r>
          </w:p>
        </w:tc>
        <w:tc>
          <w:tcPr>
            <w:tcW w:w="1872" w:type="dxa"/>
            <w:vMerge w:val="restart"/>
            <w:tcBorders>
              <w:top w:val="single" w:color="auto" w:sz="4" w:space="0"/>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jc w:val="left"/>
            </w:pPr>
            <w:r>
              <w:rPr>
                <w:sz w:val="18"/>
                <w:szCs w:val="18"/>
                <w:bdr w:val="none" w:color="auto" w:sz="0" w:space="0"/>
              </w:rPr>
              <w:t>材料与化工</w:t>
            </w:r>
          </w:p>
        </w:tc>
        <w:tc>
          <w:tcPr>
            <w:tcW w:w="3612" w:type="dxa"/>
            <w:tcBorders>
              <w:top w:val="nil"/>
              <w:left w:val="nil"/>
              <w:bottom w:val="single" w:color="auto" w:sz="4" w:space="0"/>
              <w:right w:val="single" w:color="auto" w:sz="4" w:space="0"/>
            </w:tcBorders>
            <w:shd w:val="clear" w:color="auto" w:fill="FFFFFF"/>
            <w:noWrap/>
            <w:tcMar>
              <w:left w:w="84" w:type="dxa"/>
              <w:right w:w="84" w:type="dxa"/>
            </w:tcMar>
            <w:vAlign w:val="center"/>
          </w:tcPr>
          <w:p>
            <w:pPr>
              <w:pStyle w:val="2"/>
              <w:keepNext w:val="0"/>
              <w:keepLines w:val="0"/>
              <w:widowControl/>
              <w:suppressLineNumbers w:val="0"/>
              <w:jc w:val="left"/>
            </w:pPr>
            <w:r>
              <w:rPr>
                <w:rFonts w:hint="eastAsia" w:ascii="微软雅黑" w:hAnsi="微软雅黑" w:eastAsia="微软雅黑" w:cs="微软雅黑"/>
                <w:sz w:val="18"/>
                <w:szCs w:val="18"/>
                <w:bdr w:val="none" w:color="auto" w:sz="0" w:space="0"/>
                <w:lang w:val="en-US"/>
              </w:rPr>
              <w:t>01 </w:t>
            </w:r>
            <w:r>
              <w:rPr>
                <w:rFonts w:hint="eastAsia" w:ascii="微软雅黑" w:hAnsi="微软雅黑" w:eastAsia="微软雅黑" w:cs="微软雅黑"/>
                <w:sz w:val="18"/>
                <w:szCs w:val="18"/>
                <w:bdr w:val="none" w:color="auto" w:sz="0" w:space="0"/>
              </w:rPr>
              <w:t>材料工程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28" w:hRule="atLeast"/>
          <w:tblCellSpacing w:w="0" w:type="dxa"/>
          <w:jc w:val="center"/>
        </w:trPr>
        <w:tc>
          <w:tcPr>
            <w:tcW w:w="684" w:type="dxa"/>
            <w:vMerge w:val="continue"/>
            <w:tcBorders>
              <w:top w:val="single" w:color="auto" w:sz="4" w:space="0"/>
              <w:left w:val="single" w:color="auto" w:sz="4" w:space="0"/>
              <w:bottom w:val="single" w:color="auto" w:sz="4" w:space="0"/>
              <w:right w:val="single" w:color="auto" w:sz="4" w:space="0"/>
            </w:tcBorders>
            <w:shd w:val="clear" w:color="auto" w:fill="FFFFFF"/>
            <w:noWrap/>
            <w:tcMar>
              <w:left w:w="84" w:type="dxa"/>
              <w:right w:w="84" w:type="dxa"/>
            </w:tcMar>
            <w:vAlign w:val="center"/>
          </w:tcPr>
          <w:p>
            <w:pPr>
              <w:rPr>
                <w:rFonts w:hint="eastAsia" w:ascii="宋体"/>
                <w:sz w:val="24"/>
                <w:szCs w:val="24"/>
              </w:rPr>
            </w:pPr>
          </w:p>
        </w:tc>
        <w:tc>
          <w:tcPr>
            <w:tcW w:w="1140" w:type="dxa"/>
            <w:vMerge w:val="continue"/>
            <w:tcBorders>
              <w:top w:val="nil"/>
              <w:left w:val="nil"/>
              <w:bottom w:val="single" w:color="auto" w:sz="4" w:space="0"/>
              <w:right w:val="single" w:color="auto" w:sz="4" w:space="0"/>
            </w:tcBorders>
            <w:shd w:val="clear" w:color="auto" w:fill="FFFFFF"/>
            <w:noWrap/>
            <w:tcMar>
              <w:left w:w="84" w:type="dxa"/>
              <w:right w:w="84" w:type="dxa"/>
            </w:tcMar>
            <w:vAlign w:val="center"/>
          </w:tcPr>
          <w:p>
            <w:pPr>
              <w:rPr>
                <w:rFonts w:hint="eastAsia" w:ascii="宋体"/>
                <w:sz w:val="24"/>
                <w:szCs w:val="24"/>
              </w:rPr>
            </w:pPr>
          </w:p>
        </w:tc>
        <w:tc>
          <w:tcPr>
            <w:tcW w:w="1872" w:type="dxa"/>
            <w:vMerge w:val="continue"/>
            <w:tcBorders>
              <w:top w:val="single" w:color="auto" w:sz="4" w:space="0"/>
              <w:left w:val="nil"/>
              <w:bottom w:val="single" w:color="auto" w:sz="4" w:space="0"/>
              <w:right w:val="single" w:color="auto" w:sz="4" w:space="0"/>
            </w:tcBorders>
            <w:shd w:val="clear" w:color="auto" w:fill="FFFFFF"/>
            <w:tcMar>
              <w:left w:w="84" w:type="dxa"/>
              <w:right w:w="84" w:type="dxa"/>
            </w:tcMar>
            <w:vAlign w:val="center"/>
          </w:tcPr>
          <w:p>
            <w:pPr>
              <w:rPr>
                <w:rFonts w:hint="eastAsia" w:ascii="宋体"/>
                <w:sz w:val="24"/>
                <w:szCs w:val="24"/>
              </w:rPr>
            </w:pPr>
          </w:p>
        </w:tc>
        <w:tc>
          <w:tcPr>
            <w:tcW w:w="3612" w:type="dxa"/>
            <w:tcBorders>
              <w:top w:val="nil"/>
              <w:left w:val="nil"/>
              <w:bottom w:val="single" w:color="auto" w:sz="4" w:space="0"/>
              <w:right w:val="single" w:color="auto" w:sz="4" w:space="0"/>
            </w:tcBorders>
            <w:shd w:val="clear" w:color="auto" w:fill="FFFFFF"/>
            <w:noWrap/>
            <w:tcMar>
              <w:left w:w="84" w:type="dxa"/>
              <w:right w:w="84" w:type="dxa"/>
            </w:tcMar>
            <w:vAlign w:val="center"/>
          </w:tcPr>
          <w:p>
            <w:pPr>
              <w:pStyle w:val="2"/>
              <w:keepNext w:val="0"/>
              <w:keepLines w:val="0"/>
              <w:widowControl/>
              <w:suppressLineNumbers w:val="0"/>
              <w:jc w:val="left"/>
            </w:pPr>
            <w:r>
              <w:rPr>
                <w:rFonts w:hint="eastAsia" w:ascii="微软雅黑" w:hAnsi="微软雅黑" w:eastAsia="微软雅黑" w:cs="微软雅黑"/>
                <w:sz w:val="18"/>
                <w:szCs w:val="18"/>
                <w:bdr w:val="none" w:color="auto" w:sz="0" w:space="0"/>
                <w:lang w:val="en-US"/>
              </w:rPr>
              <w:t>02 </w:t>
            </w:r>
            <w:r>
              <w:rPr>
                <w:rFonts w:hint="eastAsia" w:ascii="微软雅黑" w:hAnsi="微软雅黑" w:eastAsia="微软雅黑" w:cs="微软雅黑"/>
                <w:sz w:val="18"/>
                <w:szCs w:val="18"/>
                <w:bdr w:val="none" w:color="auto" w:sz="0" w:space="0"/>
              </w:rPr>
              <w:t>高分子材料与工程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28" w:hRule="atLeast"/>
          <w:tblCellSpacing w:w="0" w:type="dxa"/>
          <w:jc w:val="center"/>
        </w:trPr>
        <w:tc>
          <w:tcPr>
            <w:tcW w:w="684" w:type="dxa"/>
            <w:vMerge w:val="continue"/>
            <w:tcBorders>
              <w:top w:val="single" w:color="auto" w:sz="4" w:space="0"/>
              <w:left w:val="single" w:color="auto" w:sz="4" w:space="0"/>
              <w:bottom w:val="single" w:color="auto" w:sz="4" w:space="0"/>
              <w:right w:val="single" w:color="auto" w:sz="4" w:space="0"/>
            </w:tcBorders>
            <w:shd w:val="clear" w:color="auto" w:fill="FFFFFF"/>
            <w:noWrap/>
            <w:tcMar>
              <w:left w:w="84" w:type="dxa"/>
              <w:right w:w="84" w:type="dxa"/>
            </w:tcMar>
            <w:vAlign w:val="center"/>
          </w:tcPr>
          <w:p>
            <w:pPr>
              <w:rPr>
                <w:rFonts w:hint="eastAsia" w:ascii="宋体"/>
                <w:sz w:val="24"/>
                <w:szCs w:val="24"/>
              </w:rPr>
            </w:pPr>
          </w:p>
        </w:tc>
        <w:tc>
          <w:tcPr>
            <w:tcW w:w="1140" w:type="dxa"/>
            <w:vMerge w:val="continue"/>
            <w:tcBorders>
              <w:top w:val="nil"/>
              <w:left w:val="nil"/>
              <w:bottom w:val="single" w:color="auto" w:sz="4" w:space="0"/>
              <w:right w:val="single" w:color="auto" w:sz="4" w:space="0"/>
            </w:tcBorders>
            <w:shd w:val="clear" w:color="auto" w:fill="FFFFFF"/>
            <w:noWrap/>
            <w:tcMar>
              <w:left w:w="84" w:type="dxa"/>
              <w:right w:w="84" w:type="dxa"/>
            </w:tcMar>
            <w:vAlign w:val="center"/>
          </w:tcPr>
          <w:p>
            <w:pPr>
              <w:rPr>
                <w:rFonts w:hint="eastAsia" w:ascii="宋体"/>
                <w:sz w:val="24"/>
                <w:szCs w:val="24"/>
              </w:rPr>
            </w:pPr>
          </w:p>
        </w:tc>
        <w:tc>
          <w:tcPr>
            <w:tcW w:w="1872" w:type="dxa"/>
            <w:vMerge w:val="continue"/>
            <w:tcBorders>
              <w:top w:val="single" w:color="auto" w:sz="4" w:space="0"/>
              <w:left w:val="nil"/>
              <w:bottom w:val="single" w:color="auto" w:sz="4" w:space="0"/>
              <w:right w:val="single" w:color="auto" w:sz="4" w:space="0"/>
            </w:tcBorders>
            <w:shd w:val="clear" w:color="auto" w:fill="FFFFFF"/>
            <w:tcMar>
              <w:left w:w="84" w:type="dxa"/>
              <w:right w:w="84" w:type="dxa"/>
            </w:tcMar>
            <w:vAlign w:val="center"/>
          </w:tcPr>
          <w:p>
            <w:pPr>
              <w:rPr>
                <w:rFonts w:hint="eastAsia" w:ascii="宋体"/>
                <w:sz w:val="24"/>
                <w:szCs w:val="24"/>
              </w:rPr>
            </w:pPr>
          </w:p>
        </w:tc>
        <w:tc>
          <w:tcPr>
            <w:tcW w:w="3612" w:type="dxa"/>
            <w:tcBorders>
              <w:top w:val="nil"/>
              <w:left w:val="nil"/>
              <w:bottom w:val="single" w:color="auto" w:sz="4" w:space="0"/>
              <w:right w:val="single" w:color="auto" w:sz="4" w:space="0"/>
            </w:tcBorders>
            <w:shd w:val="clear" w:color="auto" w:fill="FFFFFF"/>
            <w:noWrap/>
            <w:tcMar>
              <w:left w:w="84" w:type="dxa"/>
              <w:right w:w="84" w:type="dxa"/>
            </w:tcMar>
            <w:vAlign w:val="center"/>
          </w:tcPr>
          <w:p>
            <w:pPr>
              <w:pStyle w:val="2"/>
              <w:keepNext w:val="0"/>
              <w:keepLines w:val="0"/>
              <w:widowControl/>
              <w:suppressLineNumbers w:val="0"/>
              <w:jc w:val="left"/>
            </w:pPr>
            <w:r>
              <w:rPr>
                <w:rFonts w:hint="eastAsia" w:ascii="微软雅黑" w:hAnsi="微软雅黑" w:eastAsia="微软雅黑" w:cs="微软雅黑"/>
                <w:sz w:val="18"/>
                <w:szCs w:val="18"/>
                <w:bdr w:val="none" w:color="auto" w:sz="0" w:space="0"/>
                <w:lang w:val="en-US"/>
              </w:rPr>
              <w:t>03 </w:t>
            </w:r>
            <w:r>
              <w:rPr>
                <w:rFonts w:hint="eastAsia" w:ascii="微软雅黑" w:hAnsi="微软雅黑" w:eastAsia="微软雅黑" w:cs="微软雅黑"/>
                <w:sz w:val="18"/>
                <w:szCs w:val="18"/>
                <w:bdr w:val="none" w:color="auto" w:sz="0" w:space="0"/>
              </w:rPr>
              <w:t>材料工程（现代制造河南实验室</w:t>
            </w:r>
            <w:r>
              <w:rPr>
                <w:rFonts w:hint="eastAsia" w:ascii="微软雅黑" w:hAnsi="微软雅黑" w:eastAsia="微软雅黑" w:cs="微软雅黑"/>
                <w:sz w:val="18"/>
                <w:szCs w:val="18"/>
                <w:bdr w:val="none" w:color="auto" w:sz="0" w:space="0"/>
                <w:lang w:val="en-US"/>
              </w:rPr>
              <w:t>-</w:t>
            </w:r>
            <w:r>
              <w:rPr>
                <w:rFonts w:hint="eastAsia" w:ascii="微软雅黑" w:hAnsi="微软雅黑" w:eastAsia="微软雅黑" w:cs="微软雅黑"/>
                <w:sz w:val="18"/>
                <w:szCs w:val="18"/>
                <w:bdr w:val="none" w:color="auto" w:sz="0" w:space="0"/>
              </w:rPr>
              <w:t>洛阳）</w:t>
            </w:r>
          </w:p>
        </w:tc>
      </w:tr>
    </w:tbl>
    <w:p>
      <w:pPr>
        <w:pStyle w:val="2"/>
        <w:keepNext w:val="0"/>
        <w:keepLines w:val="0"/>
        <w:widowControl/>
        <w:suppressLineNumbers w:val="0"/>
        <w:shd w:val="clear" w:fill="FFFFFF"/>
        <w:spacing w:before="0" w:beforeAutospacing="0" w:line="315" w:lineRule="atLeast"/>
      </w:pPr>
    </w:p>
    <w:p>
      <w:pPr>
        <w:pStyle w:val="2"/>
        <w:keepNext w:val="0"/>
        <w:keepLines w:val="0"/>
        <w:widowControl/>
        <w:suppressLineNumbers w:val="0"/>
        <w:shd w:val="clear" w:fill="FFFFFF"/>
        <w:spacing w:line="315" w:lineRule="atLeast"/>
      </w:pPr>
      <w:r>
        <w:rPr>
          <w:rFonts w:hint="eastAsia" w:ascii="黑体" w:hAnsi="宋体" w:eastAsia="黑体" w:cs="黑体"/>
          <w:i w:val="0"/>
          <w:iCs w:val="0"/>
          <w:caps w:val="0"/>
          <w:color w:val="000000"/>
          <w:spacing w:val="0"/>
          <w:sz w:val="21"/>
          <w:szCs w:val="21"/>
          <w:shd w:val="clear" w:fill="FFFFFF"/>
        </w:rPr>
        <w:t>三、调剂程序</w:t>
      </w:r>
    </w:p>
    <w:p>
      <w:pPr>
        <w:pStyle w:val="2"/>
        <w:keepNext w:val="0"/>
        <w:keepLines w:val="0"/>
        <w:widowControl/>
        <w:suppressLineNumbers w:val="0"/>
        <w:shd w:val="clear" w:fill="FFFFFF"/>
        <w:spacing w:line="315" w:lineRule="atLeast"/>
        <w:ind w:left="0" w:firstLine="384"/>
        <w:jc w:val="both"/>
      </w:pPr>
      <w:r>
        <w:rPr>
          <w:rFonts w:hint="eastAsia" w:ascii="微软雅黑" w:hAnsi="微软雅黑" w:eastAsia="微软雅黑" w:cs="微软雅黑"/>
          <w:i w:val="0"/>
          <w:iCs w:val="0"/>
          <w:caps w:val="0"/>
          <w:color w:val="000000"/>
          <w:spacing w:val="0"/>
          <w:sz w:val="21"/>
          <w:szCs w:val="21"/>
          <w:shd w:val="clear" w:fill="FFFFFF"/>
        </w:rPr>
        <w:t>所有申请调剂考生均须登录</w:t>
      </w:r>
      <w:r>
        <w:rPr>
          <w:rStyle w:val="5"/>
          <w:rFonts w:hint="eastAsia" w:ascii="微软雅黑" w:hAnsi="微软雅黑" w:eastAsia="微软雅黑" w:cs="微软雅黑"/>
          <w:i w:val="0"/>
          <w:iCs w:val="0"/>
          <w:caps w:val="0"/>
          <w:color w:val="000000"/>
          <w:spacing w:val="0"/>
          <w:sz w:val="21"/>
          <w:szCs w:val="21"/>
          <w:shd w:val="clear" w:fill="FFFFFF"/>
        </w:rPr>
        <w:t>中国研究生招生信息网</w:t>
      </w:r>
      <w:r>
        <w:rPr>
          <w:rFonts w:hint="eastAsia" w:ascii="微软雅黑" w:hAnsi="微软雅黑" w:eastAsia="微软雅黑" w:cs="微软雅黑"/>
          <w:i w:val="0"/>
          <w:iCs w:val="0"/>
          <w:caps w:val="0"/>
          <w:color w:val="000000"/>
          <w:spacing w:val="0"/>
          <w:sz w:val="21"/>
          <w:szCs w:val="21"/>
          <w:shd w:val="clear" w:fill="FFFFFF"/>
        </w:rPr>
        <w:t>（http://yz.chsi.com.cn/)调剂平台填报调剂信息，接受我院复试通知的考生应在学院规定时间内参加复试，未能在规定时间内参加复试者视为自动放弃。</w:t>
      </w:r>
    </w:p>
    <w:p>
      <w:pPr>
        <w:pStyle w:val="2"/>
        <w:keepNext w:val="0"/>
        <w:keepLines w:val="0"/>
        <w:widowControl/>
        <w:suppressLineNumbers w:val="0"/>
        <w:shd w:val="clear" w:fill="FFFFFF"/>
        <w:spacing w:line="315" w:lineRule="atLeast"/>
        <w:ind w:left="0" w:firstLine="384"/>
        <w:jc w:val="both"/>
      </w:pPr>
      <w:r>
        <w:rPr>
          <w:rFonts w:hint="eastAsia" w:ascii="微软雅黑" w:hAnsi="微软雅黑" w:eastAsia="微软雅黑" w:cs="微软雅黑"/>
          <w:i w:val="0"/>
          <w:iCs w:val="0"/>
          <w:caps w:val="0"/>
          <w:color w:val="000000"/>
          <w:spacing w:val="0"/>
          <w:sz w:val="21"/>
          <w:szCs w:val="21"/>
          <w:shd w:val="clear" w:fill="FFFFFF"/>
        </w:rPr>
        <w:t>我院复试时间与方式和学信网调剂系统开放安排等事宜请密切关注官方相关网站。</w:t>
      </w:r>
    </w:p>
    <w:p>
      <w:pPr>
        <w:pStyle w:val="2"/>
        <w:keepNext w:val="0"/>
        <w:keepLines w:val="0"/>
        <w:widowControl/>
        <w:suppressLineNumbers w:val="0"/>
        <w:shd w:val="clear" w:fill="FFFFFF"/>
        <w:spacing w:line="315" w:lineRule="atLeast"/>
        <w:ind w:left="0" w:firstLine="384"/>
        <w:jc w:val="both"/>
      </w:pPr>
      <w:r>
        <w:rPr>
          <w:rFonts w:hint="eastAsia" w:ascii="微软雅黑" w:hAnsi="微软雅黑" w:eastAsia="微软雅黑" w:cs="微软雅黑"/>
          <w:i w:val="0"/>
          <w:iCs w:val="0"/>
          <w:caps w:val="0"/>
          <w:color w:val="000000"/>
          <w:spacing w:val="0"/>
          <w:sz w:val="21"/>
          <w:szCs w:val="21"/>
          <w:shd w:val="clear" w:fill="FFFFFF"/>
        </w:rPr>
        <w:t>最终通过调剂资格的考生名单以</w:t>
      </w:r>
      <w:r>
        <w:rPr>
          <w:rStyle w:val="5"/>
          <w:rFonts w:hint="eastAsia" w:ascii="微软雅黑" w:hAnsi="微软雅黑" w:eastAsia="微软雅黑" w:cs="微软雅黑"/>
          <w:i w:val="0"/>
          <w:iCs w:val="0"/>
          <w:caps w:val="0"/>
          <w:color w:val="000000"/>
          <w:spacing w:val="0"/>
          <w:sz w:val="21"/>
          <w:szCs w:val="21"/>
          <w:shd w:val="clear" w:fill="FFFFFF"/>
        </w:rPr>
        <w:t>中国研究生招生信息网</w:t>
      </w:r>
      <w:r>
        <w:rPr>
          <w:rFonts w:hint="eastAsia" w:ascii="微软雅黑" w:hAnsi="微软雅黑" w:eastAsia="微软雅黑" w:cs="微软雅黑"/>
          <w:i w:val="0"/>
          <w:iCs w:val="0"/>
          <w:caps w:val="0"/>
          <w:color w:val="000000"/>
          <w:spacing w:val="0"/>
          <w:sz w:val="21"/>
          <w:szCs w:val="21"/>
          <w:shd w:val="clear" w:fill="FFFFFF"/>
        </w:rPr>
        <w:t>调剂系统审核结果为准。</w:t>
      </w:r>
    </w:p>
    <w:p>
      <w:pPr>
        <w:pStyle w:val="2"/>
        <w:keepNext w:val="0"/>
        <w:keepLines w:val="0"/>
        <w:widowControl/>
        <w:suppressLineNumbers w:val="0"/>
        <w:shd w:val="clear" w:fill="FFFFFF"/>
        <w:spacing w:before="0" w:beforeAutospacing="0" w:line="315" w:lineRule="atLeast"/>
      </w:pPr>
      <w:r>
        <w:rPr>
          <w:rFonts w:hint="eastAsia" w:ascii="黑体" w:hAnsi="宋体" w:eastAsia="黑体" w:cs="黑体"/>
          <w:i w:val="0"/>
          <w:iCs w:val="0"/>
          <w:caps w:val="0"/>
          <w:color w:val="000000"/>
          <w:spacing w:val="0"/>
          <w:sz w:val="21"/>
          <w:szCs w:val="21"/>
          <w:shd w:val="clear" w:fill="FFFFFF"/>
        </w:rPr>
        <w:t>四、拟调剂我院考生信息征集</w:t>
      </w:r>
    </w:p>
    <w:p>
      <w:pPr>
        <w:pStyle w:val="2"/>
        <w:keepNext w:val="0"/>
        <w:keepLines w:val="0"/>
        <w:widowControl/>
        <w:suppressLineNumbers w:val="0"/>
        <w:spacing w:line="315" w:lineRule="atLeast"/>
        <w:jc w:val="center"/>
      </w:pPr>
      <w:r>
        <w:rPr>
          <w:rFonts w:hint="eastAsia" w:ascii="微软雅黑" w:hAnsi="微软雅黑" w:eastAsia="微软雅黑" w:cs="微软雅黑"/>
          <w:i w:val="0"/>
          <w:iCs w:val="0"/>
          <w:caps w:val="0"/>
          <w:color w:val="000000"/>
          <w:spacing w:val="0"/>
          <w:sz w:val="18"/>
          <w:szCs w:val="18"/>
          <w:bdr w:val="none" w:color="auto" w:sz="0" w:space="0"/>
          <w:shd w:val="clear" w:fill="FFFFFF"/>
        </w:rPr>
        <w:drawing>
          <wp:inline distT="0" distB="0" distL="114300" distR="114300">
            <wp:extent cx="3381375" cy="1228725"/>
            <wp:effectExtent l="0" t="0" r="1905" b="5715"/>
            <wp:docPr id="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6"/>
                    <pic:cNvPicPr>
                      <a:picLocks noChangeAspect="1"/>
                    </pic:cNvPicPr>
                  </pic:nvPicPr>
                  <pic:blipFill>
                    <a:blip r:embed="rId4"/>
                    <a:stretch>
                      <a:fillRect/>
                    </a:stretch>
                  </pic:blipFill>
                  <pic:spPr>
                    <a:xfrm>
                      <a:off x="0" y="0"/>
                      <a:ext cx="3381375" cy="1228725"/>
                    </a:xfrm>
                    <a:prstGeom prst="rect">
                      <a:avLst/>
                    </a:prstGeom>
                    <a:noFill/>
                    <a:ln w="9525">
                      <a:noFill/>
                    </a:ln>
                  </pic:spPr>
                </pic:pic>
              </a:graphicData>
            </a:graphic>
          </wp:inline>
        </w:drawing>
      </w:r>
    </w:p>
    <w:p>
      <w:pPr>
        <w:pStyle w:val="2"/>
        <w:keepNext w:val="0"/>
        <w:keepLines w:val="0"/>
        <w:widowControl/>
        <w:suppressLineNumbers w:val="0"/>
        <w:shd w:val="clear" w:fill="FFFFFF"/>
        <w:spacing w:before="0" w:beforeAutospacing="0" w:line="216" w:lineRule="atLeast"/>
        <w:jc w:val="center"/>
      </w:pPr>
      <w:r>
        <w:rPr>
          <w:rFonts w:hint="eastAsia" w:ascii="微软雅黑" w:hAnsi="微软雅黑" w:eastAsia="微软雅黑" w:cs="微软雅黑"/>
          <w:i w:val="0"/>
          <w:iCs w:val="0"/>
          <w:caps w:val="0"/>
          <w:color w:val="000000"/>
          <w:spacing w:val="0"/>
          <w:sz w:val="21"/>
          <w:szCs w:val="21"/>
          <w:shd w:val="clear" w:fill="FFFFFF"/>
        </w:rPr>
        <w:t>注：拟调剂考生仅需填写问卷一次。多账号、重复提交视为无效。请谨慎填写！</w:t>
      </w:r>
    </w:p>
    <w:p>
      <w:pPr>
        <w:pStyle w:val="2"/>
        <w:keepNext w:val="0"/>
        <w:keepLines w:val="0"/>
        <w:widowControl/>
        <w:suppressLineNumbers w:val="0"/>
        <w:shd w:val="clear" w:fill="FFFFFF"/>
        <w:spacing w:before="0" w:beforeAutospacing="0" w:line="315" w:lineRule="atLeast"/>
      </w:pPr>
      <w:r>
        <w:rPr>
          <w:rFonts w:hint="eastAsia" w:ascii="黑体" w:hAnsi="宋体" w:eastAsia="黑体" w:cs="黑体"/>
          <w:i w:val="0"/>
          <w:iCs w:val="0"/>
          <w:caps w:val="0"/>
          <w:color w:val="000000"/>
          <w:spacing w:val="0"/>
          <w:sz w:val="21"/>
          <w:szCs w:val="21"/>
          <w:shd w:val="clear" w:fill="FFFFFF"/>
        </w:rPr>
        <w:t>五、我院官方硕士招生咨询QQ群号：348828536</w:t>
      </w:r>
    </w:p>
    <w:p>
      <w:pPr>
        <w:pStyle w:val="2"/>
        <w:keepNext w:val="0"/>
        <w:keepLines w:val="0"/>
        <w:widowControl/>
        <w:suppressLineNumbers w:val="0"/>
        <w:shd w:val="clear" w:fill="FFFFFF"/>
        <w:spacing w:before="0" w:beforeAutospacing="0" w:line="216" w:lineRule="atLeast"/>
      </w:pPr>
    </w:p>
    <w:p>
      <w:pPr>
        <w:pStyle w:val="2"/>
        <w:keepNext w:val="0"/>
        <w:keepLines w:val="0"/>
        <w:widowControl/>
        <w:suppressLineNumbers w:val="0"/>
        <w:shd w:val="clear" w:fill="FFFFFF"/>
        <w:spacing w:before="0" w:beforeAutospacing="0" w:line="216" w:lineRule="atLeast"/>
      </w:pPr>
    </w:p>
    <w:p>
      <w:pPr>
        <w:pStyle w:val="2"/>
        <w:keepNext w:val="0"/>
        <w:keepLines w:val="0"/>
        <w:widowControl/>
        <w:suppressLineNumbers w:val="0"/>
        <w:shd w:val="clear" w:fill="FFFFFF"/>
        <w:spacing w:before="0" w:beforeAutospacing="0" w:line="216" w:lineRule="atLeast"/>
      </w:pPr>
    </w:p>
    <w:p>
      <w:pPr>
        <w:pStyle w:val="2"/>
        <w:keepNext w:val="0"/>
        <w:keepLines w:val="0"/>
        <w:widowControl/>
        <w:suppressLineNumbers w:val="0"/>
        <w:shd w:val="clear" w:fill="FFFFFF"/>
        <w:spacing w:before="0" w:beforeAutospacing="0" w:line="315" w:lineRule="atLeast"/>
        <w:jc w:val="right"/>
      </w:pPr>
      <w:r>
        <w:rPr>
          <w:rFonts w:hint="eastAsia" w:ascii="微软雅黑" w:hAnsi="微软雅黑" w:eastAsia="微软雅黑" w:cs="微软雅黑"/>
          <w:i w:val="0"/>
          <w:iCs w:val="0"/>
          <w:caps w:val="0"/>
          <w:color w:val="000000"/>
          <w:spacing w:val="0"/>
          <w:sz w:val="18"/>
          <w:szCs w:val="18"/>
          <w:shd w:val="clear" w:fill="FFFFFF"/>
          <w:lang w:val="en-US"/>
        </w:rPr>
        <w:t> </w:t>
      </w:r>
      <w:r>
        <w:rPr>
          <w:rFonts w:hint="eastAsia" w:ascii="微软雅黑" w:hAnsi="微软雅黑" w:eastAsia="微软雅黑" w:cs="微软雅黑"/>
          <w:i w:val="0"/>
          <w:iCs w:val="0"/>
          <w:caps w:val="0"/>
          <w:color w:val="000000"/>
          <w:spacing w:val="0"/>
          <w:sz w:val="21"/>
          <w:szCs w:val="21"/>
          <w:shd w:val="clear" w:fill="FFFFFF"/>
          <w:lang w:val="en-US"/>
        </w:rPr>
        <w:t>郑州大学材料科学与工程学院、</w:t>
      </w:r>
    </w:p>
    <w:p>
      <w:pPr>
        <w:pStyle w:val="2"/>
        <w:keepNext w:val="0"/>
        <w:keepLines w:val="0"/>
        <w:widowControl/>
        <w:suppressLineNumbers w:val="0"/>
        <w:shd w:val="clear" w:fill="FFFFFF"/>
        <w:spacing w:before="0" w:beforeAutospacing="0" w:line="315" w:lineRule="atLeast"/>
        <w:ind w:left="0" w:firstLine="3648"/>
        <w:jc w:val="right"/>
      </w:pPr>
      <w:r>
        <w:rPr>
          <w:rFonts w:hint="eastAsia" w:ascii="微软雅黑" w:hAnsi="微软雅黑" w:eastAsia="微软雅黑" w:cs="微软雅黑"/>
          <w:i w:val="0"/>
          <w:iCs w:val="0"/>
          <w:caps w:val="0"/>
          <w:color w:val="000000"/>
          <w:spacing w:val="0"/>
          <w:sz w:val="21"/>
          <w:szCs w:val="21"/>
          <w:shd w:val="clear" w:fill="FFFFFF"/>
        </w:rPr>
        <w:t>河南省资源与材料工业技术研究院</w:t>
      </w:r>
    </w:p>
    <w:p>
      <w:pPr>
        <w:pStyle w:val="2"/>
        <w:keepNext w:val="0"/>
        <w:keepLines w:val="0"/>
        <w:widowControl/>
        <w:suppressLineNumbers w:val="0"/>
        <w:shd w:val="clear" w:fill="FFFFFF"/>
        <w:spacing w:before="0" w:beforeAutospacing="0" w:line="315" w:lineRule="atLeast"/>
        <w:ind w:left="0" w:firstLine="4032"/>
        <w:jc w:val="right"/>
      </w:pPr>
      <w:r>
        <w:rPr>
          <w:rFonts w:hint="eastAsia" w:ascii="微软雅黑" w:hAnsi="微软雅黑" w:eastAsia="微软雅黑" w:cs="微软雅黑"/>
          <w:i w:val="0"/>
          <w:iCs w:val="0"/>
          <w:caps w:val="0"/>
          <w:color w:val="000000"/>
          <w:spacing w:val="0"/>
          <w:sz w:val="21"/>
          <w:szCs w:val="21"/>
          <w:shd w:val="clear" w:fill="FFFFFF"/>
        </w:rPr>
        <w:t>2023年3月27日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0B6F11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807</Words>
  <Characters>887</Characters>
  <Lines>0</Lines>
  <Paragraphs>0</Paragraphs>
  <TotalTime>0</TotalTime>
  <ScaleCrop>false</ScaleCrop>
  <LinksUpToDate>false</LinksUpToDate>
  <CharactersWithSpaces>897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2023-04-04T02:25:05Z</dcterms:created>
  <dc:creator>DELL</dc:creator>
  <cp:lastModifiedBy>曾经的那个老吴</cp:lastModifiedBy>
  <dcterms:modified xsi:type="dcterms:W3CDTF">2023-04-04T02:25:08Z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C94853BF762A42078F1DB35F48EB8CD2_12</vt:lpwstr>
  </property>
</Properties>
</file>