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EF" w:rsidRPr="003033EF" w:rsidRDefault="003033EF" w:rsidP="003033EF">
      <w:pPr>
        <w:widowControl/>
        <w:shd w:val="clear" w:color="auto" w:fill="FFFFFF"/>
        <w:jc w:val="center"/>
        <w:outlineLvl w:val="2"/>
        <w:rPr>
          <w:rFonts w:ascii="微软雅黑" w:eastAsia="微软雅黑" w:hAnsi="微软雅黑" w:cs="宋体"/>
          <w:b/>
          <w:bCs/>
          <w:color w:val="333333"/>
          <w:kern w:val="0"/>
          <w:sz w:val="30"/>
          <w:szCs w:val="30"/>
        </w:rPr>
      </w:pPr>
      <w:r w:rsidRPr="003033EF">
        <w:rPr>
          <w:rFonts w:ascii="微软雅黑" w:eastAsia="微软雅黑" w:hAnsi="微软雅黑" w:cs="宋体" w:hint="eastAsia"/>
          <w:b/>
          <w:bCs/>
          <w:color w:val="333333"/>
          <w:kern w:val="0"/>
          <w:sz w:val="30"/>
          <w:szCs w:val="30"/>
        </w:rPr>
        <w:t>重庆工商大学机械工程学院2023年硕士研究生招生调剂公告（第三批）</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b/>
          <w:bCs/>
          <w:color w:val="333333"/>
          <w:kern w:val="0"/>
          <w:sz w:val="24"/>
          <w:szCs w:val="24"/>
          <w:shd w:val="clear" w:color="auto" w:fill="FFFFFF"/>
        </w:rPr>
        <w:t>一、调剂专业（招生单位代码：11799）</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根据教育部《2023年全国硕士研究生招生考试考生进入复试的初试成绩基本要求》（国家分数线），结合我院第一志愿考生拟录取情况，2023年我院硕士研究生招生各专业预计调剂情况如下：</w:t>
      </w:r>
    </w:p>
    <w:tbl>
      <w:tblPr>
        <w:tblW w:w="7065" w:type="dxa"/>
        <w:tblBorders>
          <w:top w:val="single" w:sz="6" w:space="0" w:color="DDDDDD"/>
          <w:left w:val="single" w:sz="6" w:space="0" w:color="DDDDDD"/>
        </w:tblBorders>
        <w:tblCellMar>
          <w:left w:w="0" w:type="dxa"/>
          <w:right w:w="0" w:type="dxa"/>
        </w:tblCellMar>
        <w:tblLook w:val="04A0" w:firstRow="1" w:lastRow="0" w:firstColumn="1" w:lastColumn="0" w:noHBand="0" w:noVBand="1"/>
      </w:tblPr>
      <w:tblGrid>
        <w:gridCol w:w="1682"/>
        <w:gridCol w:w="3558"/>
        <w:gridCol w:w="1825"/>
      </w:tblGrid>
      <w:tr w:rsidR="003033EF" w:rsidRPr="003033EF" w:rsidTr="003033EF">
        <w:tc>
          <w:tcPr>
            <w:tcW w:w="2430" w:type="dxa"/>
            <w:tcBorders>
              <w:top w:val="nil"/>
              <w:left w:val="nil"/>
              <w:bottom w:val="single" w:sz="6" w:space="0" w:color="DDDDDD"/>
              <w:right w:val="single" w:sz="6" w:space="0" w:color="DDDDDD"/>
            </w:tcBorders>
            <w:tcMar>
              <w:top w:w="75" w:type="dxa"/>
              <w:left w:w="75" w:type="dxa"/>
              <w:bottom w:w="75" w:type="dxa"/>
              <w:right w:w="75" w:type="dxa"/>
            </w:tcMa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类别</w:t>
            </w:r>
          </w:p>
        </w:tc>
        <w:tc>
          <w:tcPr>
            <w:tcW w:w="4830" w:type="dxa"/>
            <w:tcBorders>
              <w:top w:val="nil"/>
              <w:left w:val="nil"/>
              <w:bottom w:val="single" w:sz="6" w:space="0" w:color="DDDDDD"/>
              <w:right w:val="single" w:sz="6" w:space="0" w:color="DDDDDD"/>
            </w:tcBorders>
            <w:tcMar>
              <w:top w:w="75" w:type="dxa"/>
              <w:left w:w="75" w:type="dxa"/>
              <w:bottom w:w="75" w:type="dxa"/>
              <w:right w:w="75" w:type="dxa"/>
            </w:tcMa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专业</w:t>
            </w:r>
          </w:p>
        </w:tc>
        <w:tc>
          <w:tcPr>
            <w:tcW w:w="2655" w:type="dxa"/>
            <w:tcBorders>
              <w:top w:val="nil"/>
              <w:left w:val="nil"/>
              <w:bottom w:val="single" w:sz="6" w:space="0" w:color="DDDDDD"/>
              <w:right w:val="single" w:sz="6" w:space="0" w:color="DDDDDD"/>
            </w:tcBorders>
            <w:tcMar>
              <w:top w:w="75" w:type="dxa"/>
              <w:left w:w="75" w:type="dxa"/>
              <w:bottom w:w="75" w:type="dxa"/>
              <w:right w:w="75" w:type="dxa"/>
            </w:tcMar>
            <w:hideMark/>
          </w:tcPr>
          <w:p w:rsidR="003033EF" w:rsidRPr="003033EF" w:rsidRDefault="003033EF" w:rsidP="003033EF">
            <w:pPr>
              <w:widowControl/>
              <w:jc w:val="center"/>
              <w:rPr>
                <w:rFonts w:ascii="宋体" w:eastAsia="宋体" w:hAnsi="宋体" w:cs="宋体"/>
                <w:kern w:val="0"/>
                <w:sz w:val="24"/>
                <w:szCs w:val="24"/>
              </w:rPr>
            </w:pPr>
            <w:proofErr w:type="gramStart"/>
            <w:r w:rsidRPr="003033EF">
              <w:rPr>
                <w:rFonts w:ascii="宋体" w:eastAsia="宋体" w:hAnsi="宋体" w:cs="Calibri" w:hint="eastAsia"/>
                <w:kern w:val="0"/>
                <w:sz w:val="24"/>
                <w:szCs w:val="24"/>
              </w:rPr>
              <w:t>拟接受</w:t>
            </w:r>
            <w:proofErr w:type="gramEnd"/>
            <w:r w:rsidRPr="003033EF">
              <w:rPr>
                <w:rFonts w:ascii="宋体" w:eastAsia="宋体" w:hAnsi="宋体" w:cs="Calibri" w:hint="eastAsia"/>
                <w:kern w:val="0"/>
                <w:sz w:val="24"/>
                <w:szCs w:val="24"/>
              </w:rPr>
              <w:t>调剂人数</w:t>
            </w:r>
          </w:p>
        </w:tc>
      </w:tr>
      <w:tr w:rsidR="003033EF" w:rsidRPr="003033EF" w:rsidTr="003033EF">
        <w:tc>
          <w:tcPr>
            <w:tcW w:w="2430" w:type="dxa"/>
            <w:vMerge w:val="restart"/>
            <w:tcBorders>
              <w:top w:val="nil"/>
              <w:left w:val="nil"/>
              <w:bottom w:val="single" w:sz="6" w:space="0" w:color="DDDDDD"/>
              <w:right w:val="single" w:sz="6" w:space="0" w:color="DDDDDD"/>
            </w:tcBorders>
            <w:tcMar>
              <w:top w:w="75" w:type="dxa"/>
              <w:left w:w="75" w:type="dxa"/>
              <w:bottom w:w="75" w:type="dxa"/>
              <w:right w:w="75" w:type="dxa"/>
            </w:tcMar>
            <w:vAlign w:val="cente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学术学位</w:t>
            </w:r>
          </w:p>
        </w:tc>
        <w:tc>
          <w:tcPr>
            <w:tcW w:w="4830" w:type="dxa"/>
            <w:tcBorders>
              <w:top w:val="nil"/>
              <w:left w:val="nil"/>
              <w:bottom w:val="single" w:sz="6" w:space="0" w:color="DDDDDD"/>
              <w:right w:val="single" w:sz="6" w:space="0" w:color="DDDDDD"/>
            </w:tcBorders>
            <w:tcMar>
              <w:top w:w="75" w:type="dxa"/>
              <w:left w:w="75" w:type="dxa"/>
              <w:bottom w:w="75" w:type="dxa"/>
              <w:right w:w="75" w:type="dxa"/>
            </w:tcMa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机械制造及其自动化（</w:t>
            </w:r>
            <w:r w:rsidRPr="003033EF">
              <w:rPr>
                <w:rFonts w:ascii="Calibri" w:eastAsia="宋体" w:hAnsi="Calibri" w:cs="Calibri"/>
                <w:kern w:val="0"/>
                <w:sz w:val="24"/>
                <w:szCs w:val="24"/>
              </w:rPr>
              <w:t>080201</w:t>
            </w:r>
            <w:r w:rsidRPr="003033EF">
              <w:rPr>
                <w:rFonts w:ascii="宋体" w:eastAsia="宋体" w:hAnsi="宋体" w:cs="Calibri" w:hint="eastAsia"/>
                <w:kern w:val="0"/>
                <w:sz w:val="24"/>
                <w:szCs w:val="24"/>
              </w:rPr>
              <w:t>）</w:t>
            </w:r>
          </w:p>
        </w:tc>
        <w:tc>
          <w:tcPr>
            <w:tcW w:w="2655" w:type="dxa"/>
            <w:vMerge w:val="restart"/>
            <w:tcBorders>
              <w:top w:val="nil"/>
              <w:left w:val="nil"/>
              <w:bottom w:val="single" w:sz="6" w:space="0" w:color="DDDDDD"/>
              <w:right w:val="single" w:sz="6" w:space="0" w:color="DDDDDD"/>
            </w:tcBorders>
            <w:tcMar>
              <w:top w:w="75" w:type="dxa"/>
              <w:left w:w="75" w:type="dxa"/>
              <w:bottom w:w="75" w:type="dxa"/>
              <w:right w:w="75" w:type="dxa"/>
            </w:tcMar>
            <w:vAlign w:val="cente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约</w:t>
            </w:r>
            <w:r w:rsidRPr="003033EF">
              <w:rPr>
                <w:rFonts w:ascii="Calibri" w:eastAsia="宋体" w:hAnsi="Calibri" w:cs="Calibri"/>
                <w:kern w:val="0"/>
                <w:sz w:val="24"/>
                <w:szCs w:val="24"/>
              </w:rPr>
              <w:t>5</w:t>
            </w:r>
            <w:r w:rsidRPr="003033EF">
              <w:rPr>
                <w:rFonts w:ascii="宋体" w:eastAsia="宋体" w:hAnsi="宋体" w:cs="Calibri" w:hint="eastAsia"/>
                <w:kern w:val="0"/>
                <w:sz w:val="24"/>
                <w:szCs w:val="24"/>
              </w:rPr>
              <w:t>人</w:t>
            </w:r>
          </w:p>
        </w:tc>
      </w:tr>
      <w:tr w:rsidR="003033EF" w:rsidRPr="003033EF" w:rsidTr="003033EF">
        <w:tc>
          <w:tcPr>
            <w:tcW w:w="0" w:type="auto"/>
            <w:vMerge/>
            <w:tcBorders>
              <w:top w:val="nil"/>
              <w:left w:val="nil"/>
              <w:bottom w:val="single" w:sz="6" w:space="0" w:color="DDDDDD"/>
              <w:right w:val="single" w:sz="6" w:space="0" w:color="DDDDDD"/>
            </w:tcBorders>
            <w:vAlign w:val="center"/>
            <w:hideMark/>
          </w:tcPr>
          <w:p w:rsidR="003033EF" w:rsidRPr="003033EF" w:rsidRDefault="003033EF" w:rsidP="003033EF">
            <w:pPr>
              <w:widowControl/>
              <w:jc w:val="left"/>
              <w:rPr>
                <w:rFonts w:ascii="宋体" w:eastAsia="宋体" w:hAnsi="宋体" w:cs="宋体"/>
                <w:kern w:val="0"/>
                <w:sz w:val="24"/>
                <w:szCs w:val="24"/>
              </w:rPr>
            </w:pPr>
          </w:p>
        </w:tc>
        <w:tc>
          <w:tcPr>
            <w:tcW w:w="4830" w:type="dxa"/>
            <w:tcBorders>
              <w:top w:val="nil"/>
              <w:left w:val="nil"/>
              <w:bottom w:val="single" w:sz="6" w:space="0" w:color="DDDDDD"/>
              <w:right w:val="single" w:sz="6" w:space="0" w:color="DDDDDD"/>
            </w:tcBorders>
            <w:tcMar>
              <w:top w:w="75" w:type="dxa"/>
              <w:left w:w="75" w:type="dxa"/>
              <w:bottom w:w="75" w:type="dxa"/>
              <w:right w:w="75" w:type="dxa"/>
            </w:tcMar>
            <w:hideMark/>
          </w:tcPr>
          <w:p w:rsidR="003033EF" w:rsidRPr="003033EF" w:rsidRDefault="003033EF" w:rsidP="003033EF">
            <w:pPr>
              <w:widowControl/>
              <w:jc w:val="center"/>
              <w:rPr>
                <w:rFonts w:ascii="宋体" w:eastAsia="宋体" w:hAnsi="宋体" w:cs="宋体"/>
                <w:kern w:val="0"/>
                <w:sz w:val="24"/>
                <w:szCs w:val="24"/>
              </w:rPr>
            </w:pPr>
            <w:r w:rsidRPr="003033EF">
              <w:rPr>
                <w:rFonts w:ascii="宋体" w:eastAsia="宋体" w:hAnsi="宋体" w:cs="Calibri" w:hint="eastAsia"/>
                <w:kern w:val="0"/>
                <w:sz w:val="24"/>
                <w:szCs w:val="24"/>
              </w:rPr>
              <w:t>机械电子工程（</w:t>
            </w:r>
            <w:r w:rsidRPr="003033EF">
              <w:rPr>
                <w:rFonts w:ascii="Calibri" w:eastAsia="宋体" w:hAnsi="Calibri" w:cs="Calibri"/>
                <w:kern w:val="0"/>
                <w:sz w:val="24"/>
                <w:szCs w:val="24"/>
              </w:rPr>
              <w:t>080202</w:t>
            </w:r>
            <w:r w:rsidRPr="003033EF">
              <w:rPr>
                <w:rFonts w:ascii="宋体" w:eastAsia="宋体" w:hAnsi="宋体" w:cs="Calibri" w:hint="eastAsia"/>
                <w:kern w:val="0"/>
                <w:sz w:val="24"/>
                <w:szCs w:val="24"/>
              </w:rPr>
              <w:t>）</w:t>
            </w:r>
          </w:p>
        </w:tc>
        <w:tc>
          <w:tcPr>
            <w:tcW w:w="0" w:type="auto"/>
            <w:vMerge/>
            <w:tcBorders>
              <w:top w:val="nil"/>
              <w:left w:val="nil"/>
              <w:bottom w:val="single" w:sz="6" w:space="0" w:color="DDDDDD"/>
              <w:right w:val="single" w:sz="6" w:space="0" w:color="DDDDDD"/>
            </w:tcBorders>
            <w:vAlign w:val="center"/>
            <w:hideMark/>
          </w:tcPr>
          <w:p w:rsidR="003033EF" w:rsidRPr="003033EF" w:rsidRDefault="003033EF" w:rsidP="003033EF">
            <w:pPr>
              <w:widowControl/>
              <w:jc w:val="left"/>
              <w:rPr>
                <w:rFonts w:ascii="宋体" w:eastAsia="宋体" w:hAnsi="宋体" w:cs="宋体"/>
                <w:kern w:val="0"/>
                <w:sz w:val="24"/>
                <w:szCs w:val="24"/>
              </w:rPr>
            </w:pPr>
          </w:p>
        </w:tc>
      </w:tr>
    </w:tbl>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b/>
          <w:bCs/>
          <w:color w:val="333333"/>
          <w:kern w:val="0"/>
          <w:sz w:val="24"/>
          <w:szCs w:val="24"/>
          <w:shd w:val="clear" w:color="auto" w:fill="FFFFFF"/>
        </w:rPr>
        <w:t>二、调剂条件</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1.初试成绩（总成绩与单科成绩）须达到教育部规定的2023年A类地区进入复试的基本分数要求，同时符合重庆工商大学2023年硕士研究生招生考试考生进入复试的初试成绩基本要求。</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2.第一志愿报考专业属工学门类（专业代码前两位为08），与申请调入专业相同或相近。</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3.初试统考科目相同（申请调剂学术学位类考生统考科目应为：英语</w:t>
      </w:r>
      <w:proofErr w:type="gramStart"/>
      <w:r w:rsidRPr="003033EF">
        <w:rPr>
          <w:rFonts w:ascii="微软雅黑" w:eastAsia="微软雅黑" w:hAnsi="微软雅黑" w:cs="宋体" w:hint="eastAsia"/>
          <w:color w:val="333333"/>
          <w:kern w:val="0"/>
          <w:sz w:val="24"/>
          <w:szCs w:val="24"/>
          <w:shd w:val="clear" w:color="auto" w:fill="FFFFFF"/>
        </w:rPr>
        <w:t>一</w:t>
      </w:r>
      <w:proofErr w:type="gramEnd"/>
      <w:r w:rsidRPr="003033EF">
        <w:rPr>
          <w:rFonts w:ascii="微软雅黑" w:eastAsia="微软雅黑" w:hAnsi="微软雅黑" w:cs="宋体" w:hint="eastAsia"/>
          <w:color w:val="333333"/>
          <w:kern w:val="0"/>
          <w:sz w:val="24"/>
          <w:szCs w:val="24"/>
          <w:shd w:val="clear" w:color="auto" w:fill="FFFFFF"/>
        </w:rPr>
        <w:t>和数学</w:t>
      </w:r>
      <w:proofErr w:type="gramStart"/>
      <w:r w:rsidRPr="003033EF">
        <w:rPr>
          <w:rFonts w:ascii="微软雅黑" w:eastAsia="微软雅黑" w:hAnsi="微软雅黑" w:cs="宋体" w:hint="eastAsia"/>
          <w:color w:val="333333"/>
          <w:kern w:val="0"/>
          <w:sz w:val="24"/>
          <w:szCs w:val="24"/>
          <w:shd w:val="clear" w:color="auto" w:fill="FFFFFF"/>
        </w:rPr>
        <w:t>一</w:t>
      </w:r>
      <w:proofErr w:type="gramEnd"/>
      <w:r w:rsidRPr="003033EF">
        <w:rPr>
          <w:rFonts w:ascii="微软雅黑" w:eastAsia="微软雅黑" w:hAnsi="微软雅黑" w:cs="宋体" w:hint="eastAsia"/>
          <w:color w:val="333333"/>
          <w:kern w:val="0"/>
          <w:sz w:val="24"/>
          <w:szCs w:val="24"/>
          <w:shd w:val="clear" w:color="auto" w:fill="FFFFFF"/>
        </w:rPr>
        <w:t>），</w:t>
      </w:r>
      <w:proofErr w:type="gramStart"/>
      <w:r w:rsidRPr="003033EF">
        <w:rPr>
          <w:rFonts w:ascii="微软雅黑" w:eastAsia="微软雅黑" w:hAnsi="微软雅黑" w:cs="宋体" w:hint="eastAsia"/>
          <w:color w:val="333333"/>
          <w:kern w:val="0"/>
          <w:sz w:val="24"/>
          <w:szCs w:val="24"/>
          <w:shd w:val="clear" w:color="auto" w:fill="FFFFFF"/>
        </w:rPr>
        <w:t>初试自</w:t>
      </w:r>
      <w:proofErr w:type="gramEnd"/>
      <w:r w:rsidRPr="003033EF">
        <w:rPr>
          <w:rFonts w:ascii="微软雅黑" w:eastAsia="微软雅黑" w:hAnsi="微软雅黑" w:cs="宋体" w:hint="eastAsia"/>
          <w:color w:val="333333"/>
          <w:kern w:val="0"/>
          <w:sz w:val="24"/>
          <w:szCs w:val="24"/>
          <w:shd w:val="clear" w:color="auto" w:fill="FFFFFF"/>
        </w:rPr>
        <w:t>命题科目相同或相近，详见我院2023年硕士研究生招生简章</w:t>
      </w:r>
      <w:hyperlink r:id="rId5" w:history="1">
        <w:r w:rsidRPr="003033EF">
          <w:rPr>
            <w:rFonts w:ascii="微软雅黑" w:eastAsia="微软雅黑" w:hAnsi="微软雅黑" w:cs="宋体" w:hint="eastAsia"/>
            <w:color w:val="333333"/>
            <w:kern w:val="0"/>
            <w:sz w:val="24"/>
            <w:szCs w:val="24"/>
            <w:shd w:val="clear" w:color="auto" w:fill="FFFFFF"/>
          </w:rPr>
          <w:t>https://impe2014.ctbu.edu.cn/info/1152/9203.htm</w:t>
        </w:r>
      </w:hyperlink>
      <w:r w:rsidRPr="003033EF">
        <w:rPr>
          <w:rFonts w:ascii="微软雅黑" w:eastAsia="微软雅黑" w:hAnsi="微软雅黑" w:cs="宋体" w:hint="eastAsia"/>
          <w:color w:val="333333"/>
          <w:kern w:val="0"/>
          <w:sz w:val="24"/>
          <w:szCs w:val="24"/>
          <w:shd w:val="clear" w:color="auto" w:fill="FFFFFF"/>
        </w:rPr>
        <w:t>。</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4.根据学院学科方向特点，在符合调入专业的报考条件下，优先调剂第一志愿报考专业代码和申请调入专业代码前四位一致的考生，按照初试总成绩从高到</w:t>
      </w:r>
      <w:proofErr w:type="gramStart"/>
      <w:r w:rsidRPr="003033EF">
        <w:rPr>
          <w:rFonts w:ascii="微软雅黑" w:eastAsia="微软雅黑" w:hAnsi="微软雅黑" w:cs="宋体" w:hint="eastAsia"/>
          <w:color w:val="333333"/>
          <w:kern w:val="0"/>
          <w:sz w:val="24"/>
          <w:szCs w:val="24"/>
          <w:shd w:val="clear" w:color="auto" w:fill="FFFFFF"/>
        </w:rPr>
        <w:t>低确定</w:t>
      </w:r>
      <w:proofErr w:type="gramEnd"/>
      <w:r w:rsidRPr="003033EF">
        <w:rPr>
          <w:rFonts w:ascii="微软雅黑" w:eastAsia="微软雅黑" w:hAnsi="微软雅黑" w:cs="宋体" w:hint="eastAsia"/>
          <w:color w:val="333333"/>
          <w:kern w:val="0"/>
          <w:sz w:val="24"/>
          <w:szCs w:val="24"/>
          <w:shd w:val="clear" w:color="auto" w:fill="FFFFFF"/>
        </w:rPr>
        <w:t>调剂复试名单。</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5.满足教育部和重庆工商大学有关调剂的其它要求。</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b/>
          <w:bCs/>
          <w:color w:val="333333"/>
          <w:kern w:val="0"/>
          <w:sz w:val="24"/>
          <w:szCs w:val="24"/>
          <w:shd w:val="clear" w:color="auto" w:fill="FFFFFF"/>
        </w:rPr>
        <w:lastRenderedPageBreak/>
        <w:t>三、调剂要求</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1. 我院调剂系统将于2023年4月13日20时开放，4月14日13时关闭系统，</w:t>
      </w:r>
      <w:proofErr w:type="gramStart"/>
      <w:r w:rsidRPr="003033EF">
        <w:rPr>
          <w:rFonts w:ascii="微软雅黑" w:eastAsia="微软雅黑" w:hAnsi="微软雅黑" w:cs="宋体" w:hint="eastAsia"/>
          <w:color w:val="333333"/>
          <w:kern w:val="0"/>
          <w:sz w:val="24"/>
          <w:szCs w:val="24"/>
          <w:shd w:val="clear" w:color="auto" w:fill="FFFFFF"/>
        </w:rPr>
        <w:t>请符合</w:t>
      </w:r>
      <w:proofErr w:type="gramEnd"/>
      <w:r w:rsidRPr="003033EF">
        <w:rPr>
          <w:rFonts w:ascii="微软雅黑" w:eastAsia="微软雅黑" w:hAnsi="微软雅黑" w:cs="宋体" w:hint="eastAsia"/>
          <w:color w:val="333333"/>
          <w:kern w:val="0"/>
          <w:sz w:val="24"/>
          <w:szCs w:val="24"/>
          <w:shd w:val="clear" w:color="auto" w:fill="FFFFFF"/>
        </w:rPr>
        <w:t>调剂条件的</w:t>
      </w:r>
      <w:proofErr w:type="gramStart"/>
      <w:r w:rsidRPr="003033EF">
        <w:rPr>
          <w:rFonts w:ascii="微软雅黑" w:eastAsia="微软雅黑" w:hAnsi="微软雅黑" w:cs="宋体" w:hint="eastAsia"/>
          <w:color w:val="333333"/>
          <w:kern w:val="0"/>
          <w:sz w:val="24"/>
          <w:szCs w:val="24"/>
          <w:shd w:val="clear" w:color="auto" w:fill="FFFFFF"/>
        </w:rPr>
        <w:t>考生第</w:t>
      </w:r>
      <w:proofErr w:type="gramEnd"/>
      <w:r w:rsidRPr="003033EF">
        <w:rPr>
          <w:rFonts w:ascii="微软雅黑" w:eastAsia="微软雅黑" w:hAnsi="微软雅黑" w:cs="宋体" w:hint="eastAsia"/>
          <w:color w:val="333333"/>
          <w:kern w:val="0"/>
          <w:sz w:val="24"/>
          <w:szCs w:val="24"/>
          <w:shd w:val="clear" w:color="auto" w:fill="FFFFFF"/>
        </w:rPr>
        <w:t>一时间登陆并填写正式调剂申请，我院</w:t>
      </w:r>
      <w:proofErr w:type="gramStart"/>
      <w:r w:rsidRPr="003033EF">
        <w:rPr>
          <w:rFonts w:ascii="微软雅黑" w:eastAsia="微软雅黑" w:hAnsi="微软雅黑" w:cs="宋体" w:hint="eastAsia"/>
          <w:color w:val="333333"/>
          <w:kern w:val="0"/>
          <w:sz w:val="24"/>
          <w:szCs w:val="24"/>
          <w:shd w:val="clear" w:color="auto" w:fill="FFFFFF"/>
        </w:rPr>
        <w:t>研</w:t>
      </w:r>
      <w:proofErr w:type="gramEnd"/>
      <w:r w:rsidRPr="003033EF">
        <w:rPr>
          <w:rFonts w:ascii="微软雅黑" w:eastAsia="微软雅黑" w:hAnsi="微软雅黑" w:cs="宋体" w:hint="eastAsia"/>
          <w:color w:val="333333"/>
          <w:kern w:val="0"/>
          <w:sz w:val="24"/>
          <w:szCs w:val="24"/>
          <w:shd w:val="clear" w:color="auto" w:fill="FFFFFF"/>
        </w:rPr>
        <w:t>招办将通过此平台通知参加复试的调剂考生，请考生在规定的时间内确认；</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2. 正式调剂到我院的考生，需按规定参加复试，复试时间预计4月17日进行，以网页发布为准。复试内容及方式等详见《重庆工商大学机械工程学院2023年硕士研究生招生复试和录取工作方案》</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hyperlink r:id="rId6" w:history="1">
        <w:r w:rsidRPr="003033EF">
          <w:rPr>
            <w:rFonts w:ascii="微软雅黑" w:eastAsia="微软雅黑" w:hAnsi="微软雅黑" w:cs="宋体" w:hint="eastAsia"/>
            <w:color w:val="333333"/>
            <w:kern w:val="0"/>
            <w:sz w:val="24"/>
            <w:szCs w:val="24"/>
            <w:shd w:val="clear" w:color="auto" w:fill="FFFFFF"/>
          </w:rPr>
          <w:t>https://impe2014.ctbu.edu.cn/info/1048/9466.htm</w:t>
        </w:r>
      </w:hyperlink>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3. 复试科目详见我院2023年硕士研究生招生简章</w:t>
      </w:r>
      <w:hyperlink r:id="rId7" w:history="1">
        <w:r w:rsidRPr="003033EF">
          <w:rPr>
            <w:rFonts w:ascii="微软雅黑" w:eastAsia="微软雅黑" w:hAnsi="微软雅黑" w:cs="宋体" w:hint="eastAsia"/>
            <w:color w:val="333333"/>
            <w:kern w:val="0"/>
            <w:sz w:val="24"/>
            <w:szCs w:val="24"/>
            <w:shd w:val="clear" w:color="auto" w:fill="FFFFFF"/>
          </w:rPr>
          <w:t>https://impe2014.ctbu.edu.cn/info/1152/9203.htm</w:t>
        </w:r>
      </w:hyperlink>
      <w:r w:rsidRPr="003033EF">
        <w:rPr>
          <w:rFonts w:ascii="微软雅黑" w:eastAsia="微软雅黑" w:hAnsi="微软雅黑" w:cs="宋体" w:hint="eastAsia"/>
          <w:color w:val="333333"/>
          <w:kern w:val="0"/>
          <w:sz w:val="24"/>
          <w:szCs w:val="24"/>
          <w:shd w:val="clear" w:color="auto" w:fill="FFFFFF"/>
        </w:rPr>
        <w:t>；参考书目及大纲：</w:t>
      </w:r>
      <w:hyperlink r:id="rId8" w:history="1">
        <w:r w:rsidRPr="003033EF">
          <w:rPr>
            <w:rFonts w:ascii="微软雅黑" w:eastAsia="微软雅黑" w:hAnsi="微软雅黑" w:cs="宋体" w:hint="eastAsia"/>
            <w:color w:val="333333"/>
            <w:kern w:val="0"/>
            <w:sz w:val="24"/>
            <w:szCs w:val="24"/>
            <w:shd w:val="clear" w:color="auto" w:fill="FFFFFF"/>
          </w:rPr>
          <w:t>https://impe2014.ctbu.edu.cn/zsjy1/yjszs.htm</w:t>
        </w:r>
      </w:hyperlink>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b/>
          <w:bCs/>
          <w:color w:val="333333"/>
          <w:kern w:val="0"/>
          <w:sz w:val="24"/>
          <w:szCs w:val="24"/>
          <w:shd w:val="clear" w:color="auto" w:fill="FFFFFF"/>
        </w:rPr>
        <w:t>四、其他说明</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1.请考生关注中国研究生招生信息网站、重庆工商大学研究生院网站、机械工程学院网站，参加复试的考生名单和考生编号将在教育部规定时间内发布并公示；</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2.以上若有与国家教育部、重庆市、重庆工商大学2023年研究生招生调剂政策不符的，以国家教育部、重庆市和重庆工商大学的政策为准。</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b/>
          <w:bCs/>
          <w:color w:val="333333"/>
          <w:kern w:val="0"/>
          <w:sz w:val="24"/>
          <w:szCs w:val="24"/>
          <w:shd w:val="clear" w:color="auto" w:fill="FFFFFF"/>
        </w:rPr>
        <w:t>五、联系方式</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联系人：刘老师023-62768400  13340332908  646959482@qq.</w:t>
      </w:r>
      <w:proofErr w:type="gramStart"/>
      <w:r w:rsidRPr="003033EF">
        <w:rPr>
          <w:rFonts w:ascii="微软雅黑" w:eastAsia="微软雅黑" w:hAnsi="微软雅黑" w:cs="宋体" w:hint="eastAsia"/>
          <w:color w:val="333333"/>
          <w:kern w:val="0"/>
          <w:sz w:val="24"/>
          <w:szCs w:val="24"/>
          <w:shd w:val="clear" w:color="auto" w:fill="FFFFFF"/>
        </w:rPr>
        <w:t>com</w:t>
      </w:r>
      <w:proofErr w:type="gramEnd"/>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李老师023-62768836  17783864774  </w:t>
      </w:r>
      <w:hyperlink r:id="rId9" w:history="1">
        <w:r w:rsidRPr="003033EF">
          <w:rPr>
            <w:rFonts w:ascii="微软雅黑" w:eastAsia="微软雅黑" w:hAnsi="微软雅黑" w:cs="宋体" w:hint="eastAsia"/>
            <w:color w:val="333333"/>
            <w:kern w:val="0"/>
            <w:sz w:val="24"/>
            <w:szCs w:val="24"/>
            <w:shd w:val="clear" w:color="auto" w:fill="FFFFFF"/>
          </w:rPr>
          <w:t>lpcq@ctbu.edu.cn</w:t>
        </w:r>
      </w:hyperlink>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重工商大机械工程考研调剂咨询群：461162941</w:t>
      </w:r>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重庆工商大学研究生院：</w:t>
      </w:r>
      <w:hyperlink r:id="rId10" w:history="1">
        <w:r w:rsidRPr="003033EF">
          <w:rPr>
            <w:rFonts w:ascii="微软雅黑" w:eastAsia="微软雅黑" w:hAnsi="微软雅黑" w:cs="宋体" w:hint="eastAsia"/>
            <w:color w:val="333333"/>
            <w:kern w:val="0"/>
            <w:sz w:val="24"/>
            <w:szCs w:val="24"/>
            <w:shd w:val="clear" w:color="auto" w:fill="FFFFFF"/>
          </w:rPr>
          <w:t>http://grs.ctbu.edu.cn/</w:t>
        </w:r>
      </w:hyperlink>
    </w:p>
    <w:p w:rsidR="003033EF" w:rsidRPr="003033EF" w:rsidRDefault="003033EF" w:rsidP="003033EF">
      <w:pPr>
        <w:widowControl/>
        <w:shd w:val="clear" w:color="auto" w:fill="FFFFFF"/>
        <w:ind w:firstLine="420"/>
        <w:jc w:val="lef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lastRenderedPageBreak/>
        <w:t>重庆工商大学机械工程学院: </w:t>
      </w:r>
      <w:hyperlink r:id="rId11" w:history="1">
        <w:r w:rsidRPr="003033EF">
          <w:rPr>
            <w:rFonts w:ascii="微软雅黑" w:eastAsia="微软雅黑" w:hAnsi="微软雅黑" w:cs="宋体" w:hint="eastAsia"/>
            <w:color w:val="333333"/>
            <w:kern w:val="0"/>
            <w:sz w:val="24"/>
            <w:szCs w:val="24"/>
            <w:shd w:val="clear" w:color="auto" w:fill="FFFFFF"/>
          </w:rPr>
          <w:t>https://impe2014.ctbu.edu.cn/zsjy1/yjszs.htm</w:t>
        </w:r>
      </w:hyperlink>
    </w:p>
    <w:p w:rsidR="003033EF" w:rsidRPr="003033EF" w:rsidRDefault="003033EF" w:rsidP="003033EF">
      <w:pPr>
        <w:widowControl/>
        <w:shd w:val="clear" w:color="auto" w:fill="FFFFFF"/>
        <w:ind w:firstLine="420"/>
        <w:jc w:val="right"/>
        <w:rPr>
          <w:rFonts w:ascii="微软雅黑" w:eastAsia="微软雅黑" w:hAnsi="微软雅黑" w:cs="宋体" w:hint="eastAsia"/>
          <w:color w:val="333333"/>
          <w:kern w:val="0"/>
          <w:sz w:val="23"/>
          <w:szCs w:val="23"/>
        </w:rPr>
      </w:pPr>
      <w:r w:rsidRPr="003033EF">
        <w:rPr>
          <w:rFonts w:ascii="微软雅黑" w:eastAsia="微软雅黑" w:hAnsi="微软雅黑" w:cs="宋体" w:hint="eastAsia"/>
          <w:color w:val="333333"/>
          <w:kern w:val="0"/>
          <w:sz w:val="24"/>
          <w:szCs w:val="24"/>
          <w:shd w:val="clear" w:color="auto" w:fill="FFFFFF"/>
        </w:rPr>
        <w:t>重庆工商大学机械工程学院</w:t>
      </w:r>
    </w:p>
    <w:p w:rsidR="003033EF" w:rsidRPr="003033EF" w:rsidRDefault="003033EF" w:rsidP="003033EF">
      <w:pPr>
        <w:widowControl/>
        <w:shd w:val="clear" w:color="auto" w:fill="FFFFFF"/>
        <w:ind w:firstLine="480"/>
        <w:jc w:val="left"/>
        <w:rPr>
          <w:rFonts w:ascii="微软雅黑" w:eastAsia="微软雅黑" w:hAnsi="微软雅黑" w:cs="宋体" w:hint="eastAsia"/>
          <w:color w:val="333333"/>
          <w:kern w:val="0"/>
          <w:sz w:val="23"/>
          <w:szCs w:val="23"/>
        </w:rPr>
      </w:pPr>
    </w:p>
    <w:p w:rsidR="003033EF" w:rsidRPr="003033EF" w:rsidRDefault="003033EF" w:rsidP="003033EF">
      <w:pPr>
        <w:widowControl/>
        <w:shd w:val="clear" w:color="auto" w:fill="FFFFFF"/>
        <w:jc w:val="left"/>
        <w:rPr>
          <w:rFonts w:ascii="微软雅黑" w:eastAsia="微软雅黑" w:hAnsi="微软雅黑" w:cs="宋体" w:hint="eastAsia"/>
          <w:color w:val="999999"/>
          <w:kern w:val="0"/>
          <w:sz w:val="20"/>
          <w:szCs w:val="20"/>
        </w:rPr>
      </w:pPr>
      <w:r w:rsidRPr="003033EF">
        <w:rPr>
          <w:rFonts w:ascii="微软雅黑" w:eastAsia="微软雅黑" w:hAnsi="微软雅黑" w:cs="宋体" w:hint="eastAsia"/>
          <w:color w:val="999999"/>
          <w:kern w:val="0"/>
          <w:sz w:val="20"/>
          <w:szCs w:val="20"/>
        </w:rPr>
        <w:t>李平 | 发布时间：2023年04月13日 20:10 | 浏览量：446</w:t>
      </w:r>
    </w:p>
    <w:p w:rsidR="00F45F3C" w:rsidRPr="003033EF" w:rsidRDefault="00F45F3C">
      <w:bookmarkStart w:id="0" w:name="_GoBack"/>
      <w:bookmarkEnd w:id="0"/>
    </w:p>
    <w:sectPr w:rsidR="00F45F3C" w:rsidRPr="003033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58"/>
    <w:rsid w:val="003033EF"/>
    <w:rsid w:val="003E7C58"/>
    <w:rsid w:val="00F45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033E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033EF"/>
    <w:rPr>
      <w:rFonts w:ascii="宋体" w:eastAsia="宋体" w:hAnsi="宋体" w:cs="宋体"/>
      <w:b/>
      <w:bCs/>
      <w:kern w:val="0"/>
      <w:sz w:val="27"/>
      <w:szCs w:val="27"/>
    </w:rPr>
  </w:style>
  <w:style w:type="paragraph" w:styleId="a3">
    <w:name w:val="Normal (Web)"/>
    <w:basedOn w:val="a"/>
    <w:uiPriority w:val="99"/>
    <w:unhideWhenUsed/>
    <w:rsid w:val="003033E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033EF"/>
    <w:rPr>
      <w:b/>
      <w:bCs/>
    </w:rPr>
  </w:style>
  <w:style w:type="character" w:styleId="a5">
    <w:name w:val="Hyperlink"/>
    <w:basedOn w:val="a0"/>
    <w:uiPriority w:val="99"/>
    <w:semiHidden/>
    <w:unhideWhenUsed/>
    <w:rsid w:val="003033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033E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033EF"/>
    <w:rPr>
      <w:rFonts w:ascii="宋体" w:eastAsia="宋体" w:hAnsi="宋体" w:cs="宋体"/>
      <w:b/>
      <w:bCs/>
      <w:kern w:val="0"/>
      <w:sz w:val="27"/>
      <w:szCs w:val="27"/>
    </w:rPr>
  </w:style>
  <w:style w:type="paragraph" w:styleId="a3">
    <w:name w:val="Normal (Web)"/>
    <w:basedOn w:val="a"/>
    <w:uiPriority w:val="99"/>
    <w:unhideWhenUsed/>
    <w:rsid w:val="003033E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033EF"/>
    <w:rPr>
      <w:b/>
      <w:bCs/>
    </w:rPr>
  </w:style>
  <w:style w:type="character" w:styleId="a5">
    <w:name w:val="Hyperlink"/>
    <w:basedOn w:val="a0"/>
    <w:uiPriority w:val="99"/>
    <w:semiHidden/>
    <w:unhideWhenUsed/>
    <w:rsid w:val="003033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438833">
      <w:bodyDiv w:val="1"/>
      <w:marLeft w:val="0"/>
      <w:marRight w:val="0"/>
      <w:marTop w:val="0"/>
      <w:marBottom w:val="0"/>
      <w:divBdr>
        <w:top w:val="none" w:sz="0" w:space="0" w:color="auto"/>
        <w:left w:val="none" w:sz="0" w:space="0" w:color="auto"/>
        <w:bottom w:val="none" w:sz="0" w:space="0" w:color="auto"/>
        <w:right w:val="none" w:sz="0" w:space="0" w:color="auto"/>
      </w:divBdr>
      <w:divsChild>
        <w:div w:id="1895387872">
          <w:marLeft w:val="0"/>
          <w:marRight w:val="0"/>
          <w:marTop w:val="0"/>
          <w:marBottom w:val="0"/>
          <w:divBdr>
            <w:top w:val="none" w:sz="0" w:space="0" w:color="auto"/>
            <w:left w:val="none" w:sz="0" w:space="0" w:color="auto"/>
            <w:bottom w:val="none" w:sz="0" w:space="0" w:color="auto"/>
            <w:right w:val="none" w:sz="0" w:space="0" w:color="auto"/>
          </w:divBdr>
        </w:div>
        <w:div w:id="412746815">
          <w:marLeft w:val="0"/>
          <w:marRight w:val="0"/>
          <w:marTop w:val="0"/>
          <w:marBottom w:val="0"/>
          <w:divBdr>
            <w:top w:val="none" w:sz="0" w:space="0" w:color="auto"/>
            <w:left w:val="none" w:sz="0" w:space="0" w:color="auto"/>
            <w:bottom w:val="none" w:sz="0" w:space="0" w:color="auto"/>
            <w:right w:val="none" w:sz="0" w:space="0" w:color="auto"/>
          </w:divBdr>
          <w:divsChild>
            <w:div w:id="345642676">
              <w:marLeft w:val="0"/>
              <w:marRight w:val="0"/>
              <w:marTop w:val="0"/>
              <w:marBottom w:val="0"/>
              <w:divBdr>
                <w:top w:val="none" w:sz="0" w:space="0" w:color="auto"/>
                <w:left w:val="none" w:sz="0" w:space="0" w:color="auto"/>
                <w:bottom w:val="none" w:sz="0" w:space="0" w:color="auto"/>
                <w:right w:val="none" w:sz="0" w:space="0" w:color="auto"/>
              </w:divBdr>
            </w:div>
          </w:divsChild>
        </w:div>
        <w:div w:id="808520807">
          <w:marLeft w:val="0"/>
          <w:marRight w:val="0"/>
          <w:marTop w:val="0"/>
          <w:marBottom w:val="0"/>
          <w:divBdr>
            <w:top w:val="single" w:sz="6" w:space="0" w:color="D9D9D9"/>
            <w:left w:val="none" w:sz="0" w:space="0" w:color="auto"/>
            <w:bottom w:val="none" w:sz="0" w:space="0" w:color="auto"/>
            <w:right w:val="none" w:sz="0" w:space="0" w:color="auto"/>
          </w:divBdr>
          <w:divsChild>
            <w:div w:id="20030428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e2014.ctbu.edu.cn/zsjy1/yjsz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mpe2014.ctbu.edu.cn/info/1152/920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mpe2014.ctbu.edu.cn/info/1048/9466.htm" TargetMode="External"/><Relationship Id="rId11" Type="http://schemas.openxmlformats.org/officeDocument/2006/relationships/hyperlink" Target="https://impe2014.ctbu.edu.cn/zsjy1/yjszs.htm" TargetMode="External"/><Relationship Id="rId5" Type="http://schemas.openxmlformats.org/officeDocument/2006/relationships/hyperlink" Target="https://impe2014.ctbu.edu.cn/info/1152/9203.htm" TargetMode="External"/><Relationship Id="rId10" Type="http://schemas.openxmlformats.org/officeDocument/2006/relationships/hyperlink" Target="http://grs.ctbu.edu.cn/" TargetMode="External"/><Relationship Id="rId4" Type="http://schemas.openxmlformats.org/officeDocument/2006/relationships/webSettings" Target="webSettings.xml"/><Relationship Id="rId9" Type="http://schemas.openxmlformats.org/officeDocument/2006/relationships/hyperlink" Target="mailto:lpcq@ctb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2023-05-10T10:04:00Z</dcterms:created>
  <dcterms:modified xsi:type="dcterms:W3CDTF">2023-05-10T10:04:00Z</dcterms:modified>
</cp:coreProperties>
</file>