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CellSpacing w:w="0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30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Arial" w:hAnsi="Arial" w:eastAsia="宋体" w:cs="Arial"/>
                <w:b/>
                <w:bCs/>
                <w:color w:val="0779C6"/>
                <w:kern w:val="0"/>
                <w:sz w:val="32"/>
                <w:szCs w:val="32"/>
              </w:rPr>
            </w:pPr>
            <w:r>
              <w:rPr>
                <w:rFonts w:ascii="Arial" w:hAnsi="Arial" w:eastAsia="宋体" w:cs="Arial"/>
                <w:b/>
                <w:bCs/>
                <w:color w:val="0779C6"/>
                <w:kern w:val="0"/>
                <w:sz w:val="32"/>
                <w:szCs w:val="32"/>
              </w:rPr>
              <w:t>重庆师范大学2023年硕士研究生招生第二批调剂公告（一）</w:t>
            </w:r>
          </w:p>
        </w:tc>
      </w:tr>
      <w:tr>
        <w:trPr>
          <w:trHeight w:val="450" w:hRule="atLeast"/>
          <w:tblCellSpacing w:w="0" w:type="dxa"/>
        </w:trPr>
        <w:tc>
          <w:tcPr>
            <w:tcW w:w="0" w:type="auto"/>
            <w:vAlign w:val="center"/>
          </w:tcPr>
          <w:p>
            <w:pPr>
              <w:widowControl/>
              <w:spacing w:line="480" w:lineRule="auto"/>
              <w:jc w:val="center"/>
              <w:rPr>
                <w:rFonts w:ascii="Arial" w:hAnsi="Arial" w:eastAsia="宋体" w:cs="Arial"/>
                <w:kern w:val="0"/>
                <w:szCs w:val="21"/>
              </w:rPr>
            </w:pP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2023-04-11</w:t>
            </w:r>
            <w:r>
              <w:rPr>
                <w:rFonts w:ascii="Arial" w:hAnsi="Arial" w:eastAsia="宋体" w:cs="Arial"/>
                <w:kern w:val="0"/>
                <w:szCs w:val="21"/>
              </w:rPr>
              <w:t>   </w:t>
            </w:r>
            <w:r>
              <w:rPr>
                <w:rFonts w:ascii="Arial" w:hAnsi="Arial" w:eastAsia="宋体" w:cs="Arial"/>
                <w:kern w:val="0"/>
                <w:sz w:val="18"/>
                <w:szCs w:val="18"/>
              </w:rPr>
              <w:t>  (点击数：13421)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>
            <w:pPr>
              <w:widowControl/>
              <w:spacing w:line="480" w:lineRule="auto"/>
              <w:jc w:val="right"/>
              <w:rPr>
                <w:rFonts w:ascii="Arial" w:hAnsi="Arial" w:eastAsia="宋体" w:cs="Arial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0" w:type="auto"/>
            <w:vAlign w:val="center"/>
          </w:tcPr>
          <w:p>
            <w:pPr>
              <w:widowControl/>
              <w:spacing w:line="480" w:lineRule="auto"/>
              <w:jc w:val="left"/>
              <w:rPr>
                <w:rFonts w:ascii="Arial" w:hAnsi="Arial" w:eastAsia="宋体" w:cs="Arial"/>
                <w:kern w:val="0"/>
                <w:szCs w:val="21"/>
              </w:rPr>
            </w:pPr>
          </w:p>
        </w:tc>
      </w:tr>
      <w:tr>
        <w:trPr>
          <w:tblCellSpacing w:w="0" w:type="dxa"/>
        </w:trPr>
        <w:tc>
          <w:tcPr>
            <w:tcW w:w="0" w:type="auto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等线" w:hAnsi="等线" w:eastAsia="等线" w:cs="宋体"/>
                <w:kern w:val="0"/>
                <w:szCs w:val="21"/>
              </w:rPr>
            </w:pPr>
          </w:p>
          <w:p>
            <w:pPr>
              <w:widowControl/>
              <w:spacing w:line="480" w:lineRule="auto"/>
              <w:ind w:firstLine="560"/>
              <w:rPr>
                <w:rFonts w:hint="eastAsia" w:ascii="等线" w:hAnsi="等线" w:eastAsia="等线" w:cs="宋体"/>
                <w:kern w:val="0"/>
                <w:szCs w:val="21"/>
              </w:rPr>
            </w:pPr>
            <w:r>
              <w:rPr>
                <w:rFonts w:hint="eastAsia" w:ascii="等线" w:hAnsi="等线" w:eastAsia="等线" w:cs="宋体"/>
                <w:kern w:val="0"/>
                <w:sz w:val="28"/>
                <w:szCs w:val="28"/>
              </w:rPr>
              <w:t>我校调剂系统于2023年4月11日19:30开放，各调剂专业开放时间不低于12小时，请各位考生登录“全国硕士研究生调剂服务系统”（以下简称“调剂系统”，网址：</w:t>
            </w:r>
            <w:r>
              <w:fldChar w:fldCharType="begin"/>
            </w:r>
            <w:r>
              <w:instrText xml:space="preserve"> HYPERLINK "https://yz.chsi.com.cn/" </w:instrText>
            </w:r>
            <w:r>
              <w:fldChar w:fldCharType="separate"/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</w:rPr>
              <w:t>https://yz.chsi.com.cn/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8"/>
                <w:szCs w:val="28"/>
              </w:rPr>
              <w:fldChar w:fldCharType="end"/>
            </w:r>
            <w:r>
              <w:rPr>
                <w:rFonts w:hint="eastAsia" w:ascii="等线" w:hAnsi="等线" w:eastAsia="等线" w:cs="宋体"/>
                <w:kern w:val="0"/>
                <w:sz w:val="28"/>
                <w:szCs w:val="28"/>
              </w:rPr>
              <w:t>）提交调剂申请。接受调剂的专业、缺额及条件见下表，调剂、复试的内容和方式见我校研究生院网站公布的《重庆师范大学2023年硕士研究生招生复试录取工作办法》、《重庆师范大学2023年硕士研究生招生调剂工作办法》。</w:t>
            </w:r>
          </w:p>
          <w:p>
            <w:pPr>
              <w:widowControl/>
              <w:spacing w:line="480" w:lineRule="auto"/>
              <w:ind w:firstLine="560"/>
              <w:rPr>
                <w:rFonts w:hint="eastAsia" w:ascii="等线" w:hAnsi="等线" w:eastAsia="等线" w:cs="宋体"/>
                <w:kern w:val="0"/>
                <w:szCs w:val="21"/>
              </w:rPr>
            </w:pPr>
          </w:p>
          <w:tbl>
            <w:tblPr>
              <w:tblStyle w:val="2"/>
              <w:tblW w:w="4998" w:type="pct"/>
              <w:jc w:val="center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955"/>
              <w:gridCol w:w="2972"/>
              <w:gridCol w:w="990"/>
              <w:gridCol w:w="990"/>
              <w:gridCol w:w="603"/>
              <w:gridCol w:w="796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842" w:type="pct"/>
                  <w:tcBorders>
                    <w:top w:val="single" w:color="000000" w:sz="8" w:space="0"/>
                    <w:left w:val="single" w:color="000000" w:sz="8" w:space="0"/>
                    <w:bottom w:val="single" w:color="000000" w:sz="8" w:space="0"/>
                    <w:right w:val="single" w:color="000000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center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b/>
                      <w:bCs/>
                      <w:kern w:val="0"/>
                      <w:sz w:val="22"/>
                    </w:rPr>
                    <w:t>招生学院代码及名称</w:t>
                  </w:r>
                </w:p>
              </w:tc>
              <w:tc>
                <w:tcPr>
                  <w:tcW w:w="1322" w:type="pct"/>
                  <w:tcBorders>
                    <w:top w:val="single" w:color="auto" w:sz="8" w:space="0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center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b/>
                      <w:bCs/>
                      <w:kern w:val="0"/>
                      <w:sz w:val="22"/>
                    </w:rPr>
                    <w:t>招生专业代码及名称</w:t>
                  </w:r>
                </w:p>
              </w:tc>
              <w:tc>
                <w:tcPr>
                  <w:tcW w:w="403" w:type="pct"/>
                  <w:tcBorders>
                    <w:top w:val="single" w:color="auto" w:sz="8" w:space="0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center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b/>
                      <w:bCs/>
                      <w:kern w:val="0"/>
                      <w:sz w:val="22"/>
                    </w:rPr>
                    <w:t>学习方式</w:t>
                  </w:r>
                </w:p>
              </w:tc>
              <w:tc>
                <w:tcPr>
                  <w:tcW w:w="403" w:type="pct"/>
                  <w:tcBorders>
                    <w:top w:val="single" w:color="auto" w:sz="8" w:space="0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center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b/>
                      <w:bCs/>
                      <w:kern w:val="0"/>
                      <w:sz w:val="22"/>
                    </w:rPr>
                    <w:t>学位类型</w:t>
                  </w:r>
                </w:p>
              </w:tc>
              <w:tc>
                <w:tcPr>
                  <w:tcW w:w="239" w:type="pct"/>
                  <w:tcBorders>
                    <w:top w:val="single" w:color="auto" w:sz="8" w:space="0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center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b/>
                      <w:bCs/>
                      <w:kern w:val="0"/>
                      <w:sz w:val="22"/>
                    </w:rPr>
                    <w:t>缺额</w:t>
                  </w:r>
                </w:p>
              </w:tc>
              <w:tc>
                <w:tcPr>
                  <w:tcW w:w="1787" w:type="pct"/>
                  <w:tcBorders>
                    <w:top w:val="single" w:color="auto" w:sz="8" w:space="0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center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b/>
                      <w:bCs/>
                      <w:color w:val="000000"/>
                      <w:kern w:val="0"/>
                      <w:sz w:val="22"/>
                    </w:rPr>
                    <w:t>调剂条件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40" w:hRule="atLeast"/>
                <w:jc w:val="center"/>
              </w:trPr>
              <w:tc>
                <w:tcPr>
                  <w:tcW w:w="842" w:type="pct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005外国语学院</w:t>
                  </w:r>
                </w:p>
              </w:tc>
              <w:tc>
                <w:tcPr>
                  <w:tcW w:w="1322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050201英语语言</w:t>
                  </w:r>
                  <w:bookmarkStart w:id="0" w:name="_GoBack"/>
                  <w:bookmarkEnd w:id="0"/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文学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全日制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学术学位</w:t>
                  </w:r>
                </w:p>
              </w:tc>
              <w:tc>
                <w:tcPr>
                  <w:tcW w:w="239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center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3</w:t>
                  </w:r>
                </w:p>
              </w:tc>
              <w:tc>
                <w:tcPr>
                  <w:tcW w:w="1787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</w:rPr>
                    <w:t>一志愿报考专业代码前四位为0502；服从研究方向的调整；本科毕业专业为英语专业。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40" w:hRule="atLeast"/>
                <w:jc w:val="center"/>
              </w:trPr>
              <w:tc>
                <w:tcPr>
                  <w:tcW w:w="842" w:type="pct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005外国语学院</w:t>
                  </w:r>
                </w:p>
              </w:tc>
              <w:tc>
                <w:tcPr>
                  <w:tcW w:w="1322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050211外国语言学及应用语言学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全日制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学术学位</w:t>
                  </w:r>
                </w:p>
              </w:tc>
              <w:tc>
                <w:tcPr>
                  <w:tcW w:w="239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center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1787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0"/>
                      <w:sz w:val="22"/>
                    </w:rPr>
                    <w:t>一志愿报考专业代码前四位为0502；服从研究方向的调整；本科毕业专业为英语专业。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842" w:type="pct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012经济与管理学院</w:t>
                  </w:r>
                </w:p>
              </w:tc>
              <w:tc>
                <w:tcPr>
                  <w:tcW w:w="1322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020202区域经济学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全日制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学术学位</w:t>
                  </w:r>
                </w:p>
              </w:tc>
              <w:tc>
                <w:tcPr>
                  <w:tcW w:w="239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center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3</w:t>
                  </w:r>
                </w:p>
              </w:tc>
              <w:tc>
                <w:tcPr>
                  <w:tcW w:w="1787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hint="eastAsia" w:ascii="等线" w:hAnsi="等线" w:eastAsia="等线" w:cs="宋体"/>
                      <w:kern w:val="0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842" w:type="pct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012经济与管理学院</w:t>
                  </w:r>
                </w:p>
              </w:tc>
              <w:tc>
                <w:tcPr>
                  <w:tcW w:w="1322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020204金融学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全日制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学术学位</w:t>
                  </w:r>
                </w:p>
              </w:tc>
              <w:tc>
                <w:tcPr>
                  <w:tcW w:w="239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center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1787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hint="eastAsia" w:ascii="等线" w:hAnsi="等线" w:eastAsia="等线" w:cs="宋体"/>
                      <w:kern w:val="0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842" w:type="pct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012经济与管理学院</w:t>
                  </w:r>
                </w:p>
              </w:tc>
              <w:tc>
                <w:tcPr>
                  <w:tcW w:w="1322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020205产业经济学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全日制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学术学位</w:t>
                  </w:r>
                </w:p>
              </w:tc>
              <w:tc>
                <w:tcPr>
                  <w:tcW w:w="239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center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1787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hint="eastAsia" w:ascii="等线" w:hAnsi="等线" w:eastAsia="等线" w:cs="宋体"/>
                      <w:kern w:val="0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842" w:type="pct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012经济与管理学院</w:t>
                  </w:r>
                </w:p>
              </w:tc>
              <w:tc>
                <w:tcPr>
                  <w:tcW w:w="1322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020207劳动经济学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全日制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学术学位</w:t>
                  </w:r>
                </w:p>
              </w:tc>
              <w:tc>
                <w:tcPr>
                  <w:tcW w:w="239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center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3</w:t>
                  </w:r>
                </w:p>
              </w:tc>
              <w:tc>
                <w:tcPr>
                  <w:tcW w:w="1787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hint="eastAsia" w:ascii="等线" w:hAnsi="等线" w:eastAsia="等线" w:cs="宋体"/>
                      <w:kern w:val="0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842" w:type="pct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012经济与管理学院</w:t>
                  </w:r>
                </w:p>
              </w:tc>
              <w:tc>
                <w:tcPr>
                  <w:tcW w:w="1322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020209数量经济学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全日制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学术学位</w:t>
                  </w:r>
                </w:p>
              </w:tc>
              <w:tc>
                <w:tcPr>
                  <w:tcW w:w="239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center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2</w:t>
                  </w:r>
                </w:p>
              </w:tc>
              <w:tc>
                <w:tcPr>
                  <w:tcW w:w="1787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hint="eastAsia" w:ascii="等线" w:hAnsi="等线" w:eastAsia="等线" w:cs="宋体"/>
                      <w:kern w:val="0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842" w:type="pct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012经济与管理学院</w:t>
                  </w:r>
                </w:p>
              </w:tc>
              <w:tc>
                <w:tcPr>
                  <w:tcW w:w="1322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120100管理科学与工程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全日制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学术学位</w:t>
                  </w:r>
                </w:p>
              </w:tc>
              <w:tc>
                <w:tcPr>
                  <w:tcW w:w="239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center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6</w:t>
                  </w:r>
                </w:p>
              </w:tc>
              <w:tc>
                <w:tcPr>
                  <w:tcW w:w="1787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hint="eastAsia" w:ascii="等线" w:hAnsi="等线" w:eastAsia="等线" w:cs="宋体"/>
                      <w:kern w:val="0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842" w:type="pct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012经济与管理学院</w:t>
                  </w:r>
                </w:p>
              </w:tc>
              <w:tc>
                <w:tcPr>
                  <w:tcW w:w="1322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120201会计学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全日制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学术学位</w:t>
                  </w:r>
                </w:p>
              </w:tc>
              <w:tc>
                <w:tcPr>
                  <w:tcW w:w="239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center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1</w:t>
                  </w:r>
                </w:p>
              </w:tc>
              <w:tc>
                <w:tcPr>
                  <w:tcW w:w="1787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hint="eastAsia" w:ascii="等线" w:hAnsi="等线" w:eastAsia="等线" w:cs="宋体"/>
                      <w:kern w:val="0"/>
                      <w:szCs w:val="21"/>
                    </w:rPr>
                    <w:t>　</w:t>
                  </w:r>
                </w:p>
              </w:tc>
            </w:tr>
            <w:tr>
              <w:trPr>
                <w:trHeight w:val="270" w:hRule="atLeast"/>
                <w:jc w:val="center"/>
              </w:trPr>
              <w:tc>
                <w:tcPr>
                  <w:tcW w:w="842" w:type="pct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012经济与管理学院</w:t>
                  </w:r>
                </w:p>
              </w:tc>
              <w:tc>
                <w:tcPr>
                  <w:tcW w:w="1322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120202企业管理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全日制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学术学位</w:t>
                  </w:r>
                </w:p>
              </w:tc>
              <w:tc>
                <w:tcPr>
                  <w:tcW w:w="239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center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3</w:t>
                  </w:r>
                </w:p>
              </w:tc>
              <w:tc>
                <w:tcPr>
                  <w:tcW w:w="1787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hint="eastAsia" w:ascii="等线" w:hAnsi="等线" w:eastAsia="等线" w:cs="宋体"/>
                      <w:kern w:val="0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0" w:hRule="atLeast"/>
                <w:jc w:val="center"/>
              </w:trPr>
              <w:tc>
                <w:tcPr>
                  <w:tcW w:w="842" w:type="pct"/>
                  <w:tcBorders>
                    <w:top w:val="nil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012经济与管理学院</w:t>
                  </w:r>
                </w:p>
              </w:tc>
              <w:tc>
                <w:tcPr>
                  <w:tcW w:w="1322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120204技术经济及管理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全日制</w:t>
                  </w:r>
                </w:p>
              </w:tc>
              <w:tc>
                <w:tcPr>
                  <w:tcW w:w="403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学术学位</w:t>
                  </w:r>
                </w:p>
              </w:tc>
              <w:tc>
                <w:tcPr>
                  <w:tcW w:w="239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noWrap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center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ascii="Times New Roman" w:hAnsi="Times New Roman" w:eastAsia="等线" w:cs="Times New Roman"/>
                      <w:color w:val="000000"/>
                      <w:kern w:val="0"/>
                      <w:sz w:val="22"/>
                    </w:rPr>
                    <w:t>3</w:t>
                  </w:r>
                </w:p>
              </w:tc>
              <w:tc>
                <w:tcPr>
                  <w:tcW w:w="1787" w:type="pct"/>
                  <w:tcBorders>
                    <w:top w:val="nil"/>
                    <w:left w:val="nil"/>
                    <w:bottom w:val="single" w:color="auto" w:sz="8" w:space="0"/>
                    <w:right w:val="single" w:color="auto" w:sz="8" w:space="0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>
                  <w:pPr>
                    <w:widowControl/>
                    <w:jc w:val="left"/>
                    <w:rPr>
                      <w:rFonts w:ascii="等线" w:hAnsi="等线" w:eastAsia="等线" w:cs="宋体"/>
                      <w:kern w:val="0"/>
                      <w:szCs w:val="21"/>
                    </w:rPr>
                  </w:pPr>
                  <w:r>
                    <w:rPr>
                      <w:rFonts w:hint="eastAsia" w:ascii="等线" w:hAnsi="等线" w:eastAsia="等线" w:cs="宋体"/>
                      <w:kern w:val="0"/>
                      <w:szCs w:val="21"/>
                    </w:rPr>
                    <w:t>　</w:t>
                  </w:r>
                </w:p>
              </w:tc>
            </w:tr>
          </w:tbl>
          <w:p>
            <w:pPr>
              <w:widowControl/>
              <w:spacing w:line="480" w:lineRule="auto"/>
              <w:jc w:val="center"/>
              <w:rPr>
                <w:rFonts w:ascii="Arial" w:hAnsi="Arial" w:eastAsia="宋体" w:cs="Arial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5ZDVhMWZmZGFlNDQwMWYwY2ZkNjRkNWMwMjZlOTIifQ=="/>
  </w:docVars>
  <w:rsids>
    <w:rsidRoot w:val="00BB37E7"/>
    <w:rsid w:val="00BB37E7"/>
    <w:rsid w:val="00EB23BB"/>
    <w:rsid w:val="00F01DF1"/>
    <w:rsid w:val="23B8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  <w:style w:type="character" w:styleId="5">
    <w:name w:val="Hyperlink"/>
    <w:basedOn w:val="3"/>
    <w:semiHidden/>
    <w:unhideWhenUsed/>
    <w:uiPriority w:val="99"/>
    <w:rPr>
      <w:color w:val="0000FF"/>
      <w:u w:val="single"/>
    </w:rPr>
  </w:style>
  <w:style w:type="character" w:customStyle="1" w:styleId="6">
    <w:name w:val="timestyle254871"/>
    <w:basedOn w:val="3"/>
    <w:uiPriority w:val="0"/>
  </w:style>
  <w:style w:type="character" w:customStyle="1" w:styleId="7">
    <w:name w:val="wb_content"/>
    <w:basedOn w:val="3"/>
    <w:uiPriority w:val="0"/>
  </w:style>
  <w:style w:type="character" w:customStyle="1" w:styleId="8">
    <w:name w:val="clickstyle254871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551</Words>
  <Characters>688</Characters>
  <Lines>5</Lines>
  <Paragraphs>1</Paragraphs>
  <TotalTime>0</TotalTime>
  <ScaleCrop>false</ScaleCrop>
  <LinksUpToDate>false</LinksUpToDate>
  <CharactersWithSpaces>702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2023-05-13T06:59:00Z</dcterms:created>
  <dc:creator>Windows 用户</dc:creator>
  <cp:lastModifiedBy>随风而动</cp:lastModifiedBy>
  <dcterms:modified xsi:type="dcterms:W3CDTF">2023-06-27T05:54:22Z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B0EB00BF379440059343FB88CA97AF11_12</vt:lpwstr>
  </property>
</Properties>
</file>