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6B5E4A" w:rsidRPr="006B5E4A" w:rsidTr="006B5E4A">
        <w:trPr>
          <w:tblCellSpacing w:w="0" w:type="dxa"/>
        </w:trPr>
        <w:tc>
          <w:tcPr>
            <w:tcW w:w="0" w:type="auto"/>
            <w:vAlign w:val="center"/>
            <w:hideMark/>
          </w:tcPr>
          <w:p w:rsidR="006B5E4A" w:rsidRPr="006B5E4A" w:rsidRDefault="006B5E4A" w:rsidP="006B5E4A">
            <w:pPr>
              <w:widowControl/>
              <w:spacing w:line="480" w:lineRule="auto"/>
              <w:jc w:val="center"/>
              <w:rPr>
                <w:rFonts w:ascii="Arial" w:eastAsia="宋体" w:hAnsi="Arial" w:cs="Arial"/>
                <w:b/>
                <w:bCs/>
                <w:color w:val="0779C6"/>
                <w:kern w:val="0"/>
                <w:sz w:val="32"/>
                <w:szCs w:val="32"/>
              </w:rPr>
            </w:pPr>
            <w:r w:rsidRPr="006B5E4A">
              <w:rPr>
                <w:rFonts w:ascii="Arial" w:eastAsia="宋体" w:hAnsi="Arial" w:cs="Arial"/>
                <w:b/>
                <w:bCs/>
                <w:color w:val="0779C6"/>
                <w:kern w:val="0"/>
                <w:sz w:val="32"/>
                <w:szCs w:val="32"/>
              </w:rPr>
              <w:t>重庆师范大学</w:t>
            </w:r>
            <w:r w:rsidRPr="006B5E4A">
              <w:rPr>
                <w:rFonts w:ascii="Arial" w:eastAsia="宋体" w:hAnsi="Arial" w:cs="Arial"/>
                <w:b/>
                <w:bCs/>
                <w:color w:val="0779C6"/>
                <w:kern w:val="0"/>
                <w:sz w:val="32"/>
                <w:szCs w:val="32"/>
              </w:rPr>
              <w:t>2023</w:t>
            </w:r>
            <w:r w:rsidRPr="006B5E4A">
              <w:rPr>
                <w:rFonts w:ascii="Arial" w:eastAsia="宋体" w:hAnsi="Arial" w:cs="Arial"/>
                <w:b/>
                <w:bCs/>
                <w:color w:val="0779C6"/>
                <w:kern w:val="0"/>
                <w:sz w:val="32"/>
                <w:szCs w:val="32"/>
              </w:rPr>
              <w:t>年硕士研究生招生调剂工作办法</w:t>
            </w:r>
          </w:p>
        </w:tc>
      </w:tr>
      <w:tr w:rsidR="006B5E4A" w:rsidRPr="006B5E4A" w:rsidTr="006B5E4A">
        <w:trPr>
          <w:trHeight w:val="450"/>
          <w:tblCellSpacing w:w="0" w:type="dxa"/>
        </w:trPr>
        <w:tc>
          <w:tcPr>
            <w:tcW w:w="0" w:type="auto"/>
            <w:vAlign w:val="center"/>
            <w:hideMark/>
          </w:tcPr>
          <w:p w:rsidR="006B5E4A" w:rsidRPr="006B5E4A" w:rsidRDefault="006B5E4A" w:rsidP="006B5E4A">
            <w:pPr>
              <w:widowControl/>
              <w:spacing w:line="480" w:lineRule="auto"/>
              <w:jc w:val="center"/>
              <w:rPr>
                <w:rFonts w:ascii="Arial" w:eastAsia="宋体" w:hAnsi="Arial" w:cs="Arial"/>
                <w:kern w:val="0"/>
                <w:szCs w:val="21"/>
              </w:rPr>
            </w:pPr>
            <w:r w:rsidRPr="006B5E4A">
              <w:rPr>
                <w:rFonts w:ascii="Arial" w:eastAsia="宋体" w:hAnsi="Arial" w:cs="Arial"/>
                <w:kern w:val="0"/>
                <w:sz w:val="18"/>
                <w:szCs w:val="18"/>
              </w:rPr>
              <w:t>2023-03-22</w:t>
            </w:r>
            <w:r w:rsidRPr="006B5E4A">
              <w:rPr>
                <w:rFonts w:ascii="Arial" w:eastAsia="宋体" w:hAnsi="Arial" w:cs="Arial"/>
                <w:kern w:val="0"/>
                <w:szCs w:val="21"/>
              </w:rPr>
              <w:t>   </w:t>
            </w:r>
            <w:r w:rsidRPr="006B5E4A">
              <w:rPr>
                <w:rFonts w:ascii="Arial" w:eastAsia="宋体" w:hAnsi="Arial" w:cs="Arial"/>
                <w:kern w:val="0"/>
                <w:sz w:val="18"/>
                <w:szCs w:val="18"/>
              </w:rPr>
              <w:t>  (</w:t>
            </w:r>
            <w:r w:rsidRPr="006B5E4A">
              <w:rPr>
                <w:rFonts w:ascii="Arial" w:eastAsia="宋体" w:hAnsi="Arial" w:cs="Arial"/>
                <w:kern w:val="0"/>
                <w:sz w:val="18"/>
                <w:szCs w:val="18"/>
              </w:rPr>
              <w:t>点击数：</w:t>
            </w:r>
            <w:r w:rsidRPr="006B5E4A">
              <w:rPr>
                <w:rFonts w:ascii="Arial" w:eastAsia="宋体" w:hAnsi="Arial" w:cs="Arial"/>
                <w:kern w:val="0"/>
                <w:sz w:val="18"/>
                <w:szCs w:val="18"/>
              </w:rPr>
              <w:t>47647)</w:t>
            </w:r>
          </w:p>
        </w:tc>
      </w:tr>
      <w:tr w:rsidR="006B5E4A" w:rsidRPr="006B5E4A" w:rsidTr="006B5E4A">
        <w:trPr>
          <w:tblCellSpacing w:w="0" w:type="dxa"/>
        </w:trPr>
        <w:tc>
          <w:tcPr>
            <w:tcW w:w="0" w:type="auto"/>
            <w:vAlign w:val="center"/>
            <w:hideMark/>
          </w:tcPr>
          <w:p w:rsidR="006B5E4A" w:rsidRPr="006B5E4A" w:rsidRDefault="006B5E4A" w:rsidP="006B5E4A">
            <w:pPr>
              <w:widowControl/>
              <w:spacing w:line="480" w:lineRule="auto"/>
              <w:jc w:val="right"/>
              <w:rPr>
                <w:rFonts w:ascii="Arial" w:eastAsia="宋体" w:hAnsi="Arial" w:cs="Arial"/>
                <w:kern w:val="0"/>
                <w:szCs w:val="21"/>
              </w:rPr>
            </w:pPr>
          </w:p>
        </w:tc>
      </w:tr>
      <w:tr w:rsidR="006B5E4A" w:rsidRPr="006B5E4A" w:rsidTr="006B5E4A">
        <w:trPr>
          <w:tblCellSpacing w:w="0" w:type="dxa"/>
        </w:trPr>
        <w:tc>
          <w:tcPr>
            <w:tcW w:w="0" w:type="auto"/>
            <w:vAlign w:val="center"/>
            <w:hideMark/>
          </w:tcPr>
          <w:p w:rsidR="006B5E4A" w:rsidRPr="006B5E4A" w:rsidRDefault="006B5E4A" w:rsidP="006B5E4A">
            <w:pPr>
              <w:widowControl/>
              <w:spacing w:line="480" w:lineRule="auto"/>
              <w:jc w:val="left"/>
              <w:rPr>
                <w:rFonts w:ascii="Arial" w:eastAsia="宋体" w:hAnsi="Arial" w:cs="Arial"/>
                <w:kern w:val="0"/>
                <w:szCs w:val="21"/>
              </w:rPr>
            </w:pPr>
          </w:p>
        </w:tc>
      </w:tr>
      <w:tr w:rsidR="006B5E4A" w:rsidRPr="006B5E4A" w:rsidTr="006B5E4A">
        <w:trPr>
          <w:tblCellSpacing w:w="0" w:type="dxa"/>
        </w:trPr>
        <w:tc>
          <w:tcPr>
            <w:tcW w:w="0" w:type="auto"/>
            <w:vAlign w:val="center"/>
            <w:hideMark/>
          </w:tcPr>
          <w:p w:rsidR="006B5E4A" w:rsidRPr="006B5E4A" w:rsidRDefault="006B5E4A" w:rsidP="006B5E4A">
            <w:pPr>
              <w:widowControl/>
              <w:spacing w:line="315" w:lineRule="atLeast"/>
              <w:jc w:val="left"/>
              <w:rPr>
                <w:rFonts w:ascii="Times New Roman" w:eastAsia="宋体" w:hAnsi="Times New Roman" w:cs="Times New Roman" w:hint="eastAsia"/>
                <w:kern w:val="0"/>
                <w:szCs w:val="21"/>
              </w:rPr>
            </w:pPr>
            <w:r w:rsidRPr="006B5E4A">
              <w:rPr>
                <w:rFonts w:ascii="Times New Roman" w:eastAsia="宋体" w:hAnsi="Times New Roman" w:cs="Times New Roman"/>
                <w:kern w:val="0"/>
                <w:szCs w:val="21"/>
              </w:rPr>
              <w:t> </w:t>
            </w:r>
          </w:p>
          <w:p w:rsidR="006B5E4A" w:rsidRPr="006B5E4A" w:rsidRDefault="006B5E4A" w:rsidP="006B5E4A">
            <w:pPr>
              <w:widowControl/>
              <w:spacing w:line="315" w:lineRule="atLeast"/>
              <w:jc w:val="center"/>
              <w:rPr>
                <w:rFonts w:ascii="Times New Roman" w:eastAsia="宋体" w:hAnsi="Times New Roman" w:cs="Times New Roman"/>
                <w:kern w:val="0"/>
                <w:szCs w:val="21"/>
              </w:rPr>
            </w:pPr>
          </w:p>
          <w:p w:rsidR="006B5E4A" w:rsidRPr="006B5E4A" w:rsidRDefault="006B5E4A" w:rsidP="006B5E4A">
            <w:pPr>
              <w:widowControl/>
              <w:spacing w:line="480" w:lineRule="auto"/>
              <w:jc w:val="left"/>
              <w:rPr>
                <w:rFonts w:ascii="Arial" w:eastAsia="宋体" w:hAnsi="Arial" w:cs="Arial"/>
                <w:kern w:val="0"/>
                <w:szCs w:val="21"/>
              </w:rPr>
            </w:pPr>
            <w:r w:rsidRPr="006B5E4A">
              <w:rPr>
                <w:rFonts w:ascii="宋体" w:eastAsia="宋体" w:hAnsi="宋体" w:cs="Arial" w:hint="eastAsia"/>
                <w:kern w:val="0"/>
                <w:sz w:val="28"/>
                <w:szCs w:val="28"/>
              </w:rPr>
              <w:t>    为规范和顺利完成我校2023年硕士研究生招生录取工作，根</w:t>
            </w:r>
            <w:bookmarkStart w:id="0" w:name="_Hlk67241503"/>
            <w:bookmarkEnd w:id="0"/>
            <w:r w:rsidRPr="006B5E4A">
              <w:rPr>
                <w:rFonts w:ascii="宋体" w:eastAsia="宋体" w:hAnsi="宋体" w:cs="Arial" w:hint="eastAsia"/>
                <w:kern w:val="0"/>
                <w:sz w:val="28"/>
                <w:szCs w:val="28"/>
              </w:rPr>
              <w:t>据</w:t>
            </w:r>
            <w:r w:rsidRPr="006B5E4A">
              <w:rPr>
                <w:rFonts w:ascii="Arial" w:eastAsia="宋体" w:hAnsi="Arial" w:cs="Arial"/>
                <w:kern w:val="0"/>
                <w:szCs w:val="21"/>
              </w:rPr>
              <w:t> </w:t>
            </w:r>
            <w:r w:rsidRPr="006B5E4A">
              <w:rPr>
                <w:rFonts w:ascii="宋体" w:eastAsia="宋体" w:hAnsi="宋体" w:cs="Arial" w:hint="eastAsia"/>
                <w:kern w:val="0"/>
                <w:sz w:val="28"/>
                <w:szCs w:val="28"/>
              </w:rPr>
              <w:t>《教育部关于印发&lt;2023年全国硕士研究生招生工作管理规定&gt;的通知》（教学〔2022〕3号）文件要求,以及教育部、重庆市招生录取工作会议精神，结合我校实际，特制定本办法。</w:t>
            </w:r>
          </w:p>
          <w:p w:rsidR="006B5E4A" w:rsidRPr="006B5E4A" w:rsidRDefault="006B5E4A" w:rsidP="006B5E4A">
            <w:pPr>
              <w:widowControl/>
              <w:spacing w:line="480" w:lineRule="auto"/>
              <w:ind w:firstLine="420"/>
              <w:jc w:val="left"/>
              <w:rPr>
                <w:rFonts w:ascii="Times New Roman" w:eastAsia="宋体" w:hAnsi="Times New Roman" w:cs="Times New Roman"/>
                <w:kern w:val="0"/>
                <w:szCs w:val="21"/>
              </w:rPr>
            </w:pPr>
            <w:r w:rsidRPr="006B5E4A">
              <w:rPr>
                <w:rFonts w:ascii="Times New Roman" w:eastAsia="宋体" w:hAnsi="Times New Roman" w:cs="Times New Roman"/>
                <w:kern w:val="0"/>
                <w:szCs w:val="21"/>
              </w:rPr>
              <w:t> </w:t>
            </w:r>
          </w:p>
          <w:p w:rsidR="006B5E4A" w:rsidRPr="006B5E4A" w:rsidRDefault="006B5E4A" w:rsidP="006B5E4A">
            <w:pPr>
              <w:widowControl/>
              <w:spacing w:line="315" w:lineRule="atLeast"/>
              <w:ind w:firstLine="643"/>
              <w:jc w:val="left"/>
              <w:rPr>
                <w:rFonts w:ascii="Times New Roman" w:eastAsia="宋体" w:hAnsi="Times New Roman" w:cs="Times New Roman"/>
                <w:kern w:val="0"/>
                <w:szCs w:val="21"/>
              </w:rPr>
            </w:pPr>
            <w:r w:rsidRPr="006B5E4A">
              <w:rPr>
                <w:rFonts w:ascii="黑体" w:eastAsia="黑体" w:hAnsi="黑体" w:cs="Times New Roman" w:hint="eastAsia"/>
                <w:b/>
                <w:bCs/>
                <w:kern w:val="0"/>
                <w:sz w:val="32"/>
                <w:szCs w:val="32"/>
              </w:rPr>
              <w:t>一、调剂工作安排</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我校调剂工作于第一志愿复试结束并上报拟录取名单后开始，2023年4月30日前结束。调剂专业、缺额及具体时间安排将通过我校研究生院网站（</w:t>
            </w:r>
            <w:hyperlink r:id="rId5" w:history="1">
              <w:r w:rsidRPr="006B5E4A">
                <w:rPr>
                  <w:rFonts w:ascii="宋体" w:eastAsia="宋体" w:hAnsi="宋体" w:cs="Times New Roman" w:hint="eastAsia"/>
                  <w:color w:val="954F72"/>
                  <w:kern w:val="0"/>
                  <w:sz w:val="28"/>
                  <w:szCs w:val="28"/>
                  <w:u w:val="single"/>
                </w:rPr>
                <w:t>https://graduate.cqnu.edu.cn/</w:t>
              </w:r>
            </w:hyperlink>
            <w:r w:rsidRPr="006B5E4A">
              <w:rPr>
                <w:rFonts w:ascii="宋体" w:eastAsia="宋体" w:hAnsi="宋体" w:cs="Times New Roman" w:hint="eastAsia"/>
                <w:kern w:val="0"/>
                <w:sz w:val="28"/>
                <w:szCs w:val="28"/>
              </w:rPr>
              <w:t>）和“全国硕士研究生招生调剂服务系统”（以下简称“调剂系统”）发布。所有调剂工作均须通过“调剂系统”进行。</w:t>
            </w:r>
          </w:p>
          <w:p w:rsidR="006B5E4A" w:rsidRPr="006B5E4A" w:rsidRDefault="006B5E4A" w:rsidP="006B5E4A">
            <w:pPr>
              <w:widowControl/>
              <w:spacing w:line="315" w:lineRule="atLeast"/>
              <w:ind w:firstLine="643"/>
              <w:jc w:val="left"/>
              <w:rPr>
                <w:rFonts w:ascii="Times New Roman" w:eastAsia="宋体" w:hAnsi="Times New Roman" w:cs="Times New Roman"/>
                <w:kern w:val="0"/>
                <w:szCs w:val="21"/>
              </w:rPr>
            </w:pPr>
            <w:r w:rsidRPr="006B5E4A">
              <w:rPr>
                <w:rFonts w:ascii="黑体" w:eastAsia="黑体" w:hAnsi="黑体" w:cs="Times New Roman" w:hint="eastAsia"/>
                <w:b/>
                <w:bCs/>
                <w:kern w:val="0"/>
                <w:sz w:val="32"/>
                <w:szCs w:val="32"/>
              </w:rPr>
              <w:t>二、调剂基本要求</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（一）接收调剂的基本条件：</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1.符合调入专业的报考条件。</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2.初试成绩须达到我校划定的专业复试分数线。</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3.调入专业与第一志愿报考专业相同或相近，应在同一学科门类范围内（可授予两个以上不同学科门类学位的专业，允许跨门类在所属一级学科范围内进行调剂）</w:t>
            </w:r>
            <w:r w:rsidRPr="006B5E4A">
              <w:rPr>
                <w:rFonts w:ascii="宋体" w:eastAsia="宋体" w:hAnsi="宋体" w:cs="Times New Roman" w:hint="eastAsia"/>
                <w:b/>
                <w:bCs/>
                <w:kern w:val="0"/>
                <w:sz w:val="28"/>
                <w:szCs w:val="28"/>
              </w:rPr>
              <w:t>。</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4.初试科目与调入专业初试科目相同或相近，其中，初试全国统</w:t>
            </w:r>
            <w:r w:rsidRPr="006B5E4A">
              <w:rPr>
                <w:rFonts w:ascii="宋体" w:eastAsia="宋体" w:hAnsi="宋体" w:cs="Times New Roman" w:hint="eastAsia"/>
                <w:kern w:val="0"/>
                <w:sz w:val="28"/>
                <w:szCs w:val="28"/>
              </w:rPr>
              <w:lastRenderedPageBreak/>
              <w:t>一命题科目应与调入专业全国统一命题科目相同（考生初试统考科目涵盖调入专业所有统考科目的，视为相同）。在全国统一命题科目中，英语一、英语二可视为相同；数学一、数学二、数学三、数学（农）和经济学类综合能力可视为相同；农学里面的数学（农）和化学（农）可视为相同。</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5.</w:t>
            </w:r>
            <w:r w:rsidRPr="006B5E4A">
              <w:rPr>
                <w:rFonts w:ascii="Times New Roman" w:eastAsia="宋体" w:hAnsi="Times New Roman" w:cs="Times New Roman"/>
                <w:kern w:val="0"/>
                <w:szCs w:val="21"/>
              </w:rPr>
              <w:t> </w:t>
            </w:r>
            <w:r w:rsidRPr="006B5E4A">
              <w:rPr>
                <w:rFonts w:ascii="宋体" w:eastAsia="宋体" w:hAnsi="宋体" w:cs="Times New Roman" w:hint="eastAsia"/>
                <w:kern w:val="0"/>
                <w:sz w:val="28"/>
                <w:szCs w:val="28"/>
              </w:rPr>
              <w:t>第一志愿报考我校体育硕士照顾专业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硕士专业之间</w:t>
            </w:r>
            <w:proofErr w:type="gramStart"/>
            <w:r w:rsidRPr="006B5E4A">
              <w:rPr>
                <w:rFonts w:ascii="宋体" w:eastAsia="宋体" w:hAnsi="宋体" w:cs="Times New Roman" w:hint="eastAsia"/>
                <w:kern w:val="0"/>
                <w:sz w:val="28"/>
                <w:szCs w:val="28"/>
              </w:rPr>
              <w:t>调剂按</w:t>
            </w:r>
            <w:proofErr w:type="gramEnd"/>
            <w:r w:rsidRPr="006B5E4A">
              <w:rPr>
                <w:rFonts w:ascii="宋体" w:eastAsia="宋体" w:hAnsi="宋体" w:cs="Times New Roman" w:hint="eastAsia"/>
                <w:kern w:val="0"/>
                <w:sz w:val="28"/>
                <w:szCs w:val="28"/>
              </w:rPr>
              <w:t>照顾专业内部调剂政策执行。</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6.</w:t>
            </w:r>
            <w:r w:rsidRPr="006B5E4A">
              <w:rPr>
                <w:rFonts w:ascii="Times New Roman" w:eastAsia="宋体" w:hAnsi="Times New Roman" w:cs="Times New Roman"/>
                <w:kern w:val="0"/>
                <w:szCs w:val="21"/>
              </w:rPr>
              <w:t> </w:t>
            </w:r>
            <w:r w:rsidRPr="006B5E4A">
              <w:rPr>
                <w:rFonts w:ascii="宋体" w:eastAsia="宋体" w:hAnsi="宋体" w:cs="Times New Roman" w:hint="eastAsia"/>
                <w:kern w:val="0"/>
                <w:sz w:val="28"/>
                <w:szCs w:val="28"/>
              </w:rPr>
              <w:t>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7.</w:t>
            </w:r>
            <w:r w:rsidRPr="006B5E4A">
              <w:rPr>
                <w:rFonts w:ascii="Times New Roman" w:eastAsia="宋体" w:hAnsi="Times New Roman" w:cs="Times New Roman"/>
                <w:kern w:val="0"/>
                <w:szCs w:val="21"/>
              </w:rPr>
              <w:t> </w:t>
            </w:r>
            <w:r w:rsidRPr="006B5E4A">
              <w:rPr>
                <w:rFonts w:ascii="宋体" w:eastAsia="宋体" w:hAnsi="宋体" w:cs="Times New Roman" w:hint="eastAsia"/>
                <w:kern w:val="0"/>
                <w:sz w:val="28"/>
                <w:szCs w:val="28"/>
              </w:rPr>
              <w:t>报考“少数民族高层次骨干人才计划”的考生不得调剂到该计划以外录取；未报考的不得调剂入该计划录取。</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8.</w:t>
            </w:r>
            <w:r w:rsidRPr="006B5E4A">
              <w:rPr>
                <w:rFonts w:ascii="Times New Roman" w:eastAsia="宋体" w:hAnsi="Times New Roman" w:cs="Times New Roman"/>
                <w:kern w:val="0"/>
                <w:szCs w:val="21"/>
              </w:rPr>
              <w:t> </w:t>
            </w:r>
            <w:r w:rsidRPr="006B5E4A">
              <w:rPr>
                <w:rFonts w:ascii="宋体" w:eastAsia="宋体" w:hAnsi="宋体" w:cs="Times New Roman" w:hint="eastAsia"/>
                <w:kern w:val="0"/>
                <w:sz w:val="28"/>
                <w:szCs w:val="28"/>
              </w:rPr>
              <w:t>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lastRenderedPageBreak/>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（二）接收调剂的学院</w:t>
            </w:r>
            <w:bookmarkStart w:id="1" w:name="_Hlk98685604"/>
            <w:bookmarkEnd w:id="1"/>
            <w:r w:rsidRPr="006B5E4A">
              <w:rPr>
                <w:rFonts w:ascii="宋体" w:eastAsia="宋体" w:hAnsi="宋体" w:cs="Times New Roman" w:hint="eastAsia"/>
                <w:kern w:val="0"/>
                <w:sz w:val="28"/>
                <w:szCs w:val="28"/>
              </w:rPr>
              <w:t>（含重庆国家应用数学中心，下同）可在学校调剂基本条件的基础上，结合专业实际，设定接收调剂的其他学术要求，但不得设置任何歧视性条件</w:t>
            </w:r>
          </w:p>
          <w:p w:rsidR="006B5E4A" w:rsidRPr="006B5E4A" w:rsidRDefault="006B5E4A" w:rsidP="006B5E4A">
            <w:pPr>
              <w:widowControl/>
              <w:spacing w:line="315" w:lineRule="atLeast"/>
              <w:ind w:firstLine="560"/>
              <w:jc w:val="left"/>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三）在受理考生调剂时，接收调剂的学院要坚持公平原则，择优调入。对申请同一专业、初试科目完全相同的调剂考生，按考生初试成绩择优遴选进入复试的考生名单。严禁学院或个人随意圈定复试考生范围，不得以考生提交调剂志愿的时间先后顺序，或考生所在单位、行业、地域、学校层次类别等非学业水平标准作为遴选条件，也不得设置其他歧视性条件。</w:t>
            </w:r>
          </w:p>
          <w:p w:rsidR="006B5E4A" w:rsidRPr="006B5E4A" w:rsidRDefault="006B5E4A" w:rsidP="006B5E4A">
            <w:pPr>
              <w:widowControl/>
              <w:spacing w:line="315" w:lineRule="atLeast"/>
              <w:ind w:firstLine="643"/>
              <w:jc w:val="left"/>
              <w:rPr>
                <w:rFonts w:ascii="Times New Roman" w:eastAsia="宋体" w:hAnsi="Times New Roman" w:cs="Times New Roman"/>
                <w:kern w:val="0"/>
                <w:szCs w:val="21"/>
              </w:rPr>
            </w:pPr>
            <w:r w:rsidRPr="006B5E4A">
              <w:rPr>
                <w:rFonts w:ascii="黑体" w:eastAsia="黑体" w:hAnsi="黑体" w:cs="Times New Roman" w:hint="eastAsia"/>
                <w:b/>
                <w:bCs/>
                <w:kern w:val="0"/>
                <w:sz w:val="32"/>
                <w:szCs w:val="32"/>
              </w:rPr>
              <w:t>三、调剂程序</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（一）需开展调剂的学院由学院复试与录取工作小组在本办法的基础上，制定本学院调剂工作实施细则（含接收调剂的专业、缺额、调剂要求、调剂开放时间、调剂考生复试安排等），经研究生院审核同意后在</w:t>
            </w:r>
            <w:proofErr w:type="gramStart"/>
            <w:r w:rsidRPr="006B5E4A">
              <w:rPr>
                <w:rFonts w:ascii="宋体" w:eastAsia="宋体" w:hAnsi="宋体" w:cs="Times New Roman" w:hint="eastAsia"/>
                <w:kern w:val="0"/>
                <w:sz w:val="28"/>
                <w:szCs w:val="28"/>
              </w:rPr>
              <w:t>学院官网及时</w:t>
            </w:r>
            <w:proofErr w:type="gramEnd"/>
            <w:r w:rsidRPr="006B5E4A">
              <w:rPr>
                <w:rFonts w:ascii="宋体" w:eastAsia="宋体" w:hAnsi="宋体" w:cs="Times New Roman" w:hint="eastAsia"/>
                <w:kern w:val="0"/>
                <w:sz w:val="28"/>
                <w:szCs w:val="28"/>
              </w:rPr>
              <w:t>向社会公布</w:t>
            </w:r>
            <w:r w:rsidRPr="006B5E4A">
              <w:rPr>
                <w:rFonts w:ascii="宋体" w:eastAsia="宋体" w:hAnsi="宋体" w:cs="Times New Roman" w:hint="eastAsia"/>
                <w:color w:val="000000"/>
                <w:kern w:val="0"/>
                <w:sz w:val="28"/>
                <w:szCs w:val="28"/>
              </w:rPr>
              <w:t>，未经审核同意不得擅自公布</w:t>
            </w:r>
            <w:r w:rsidRPr="006B5E4A">
              <w:rPr>
                <w:rFonts w:ascii="宋体" w:eastAsia="宋体" w:hAnsi="宋体" w:cs="Times New Roman" w:hint="eastAsia"/>
                <w:kern w:val="0"/>
                <w:sz w:val="28"/>
                <w:szCs w:val="28"/>
              </w:rPr>
              <w:t>。</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（二）研究生院在部门官方网站和“调剂系统”发布调剂公告（包括接受调剂专业和计划余额、调剂系统开放时间等信息），设置各专业调剂工作开始时间（每一轮调剂开放时间不低于12个小时）。</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lastRenderedPageBreak/>
              <w:t>（三）考生在调剂开放时间内登录“调剂系统”填报调剂志愿。</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四）各接收调剂的学院根据本办法及学院调剂工作实施细则，在调剂开放时间结束后的12小时内登录“调剂系统”，第一时间下载本轮所有申请调剂学生名单备查，并择优遴选进入复试的考生名单，拟定复试通知，报研究生院审核。</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（五）研究生院审核复试名单及复试通知，并在调剂开放时间结束后的24小时内向考生发送正式复试通知。</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（六）调剂考生在接到复试通知后，必须在24小时内登录“调剂系统”进行确认回复，超过24小时没有回复将被取消复试资格。</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七）每一轮调剂，考生的调剂志愿锁定期为36小时。锁定时间到达后，未接到复试通知的所有调剂志愿将自动解除锁定，考生可继续填报其他志愿。考生如有需要，可联系调剂学院提前解除志愿锁定，学院必须做好相关记载。</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（八）学院安排调剂考生复试，复试工作按照《重庆师范大学2023年硕士研究生招生复试录取工作办法》执行。复试结束后将拟录取名单报研究生院审核。</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九）研究生院审核确定拟录取名单，在“调剂系统”中向拟录取考生发送“待录取”通知。考生在接到“待录取”通知后，必须于24小时内在“调剂系统”进行确认回复，超过24小时没有回复的，将取消其“待录取”资格。</w:t>
            </w:r>
          </w:p>
          <w:p w:rsidR="006B5E4A" w:rsidRPr="006B5E4A" w:rsidRDefault="006B5E4A" w:rsidP="006B5E4A">
            <w:pPr>
              <w:widowControl/>
              <w:spacing w:line="315" w:lineRule="atLeast"/>
              <w:ind w:firstLine="643"/>
              <w:jc w:val="left"/>
              <w:rPr>
                <w:rFonts w:ascii="Times New Roman" w:eastAsia="宋体" w:hAnsi="Times New Roman" w:cs="Times New Roman"/>
                <w:kern w:val="0"/>
                <w:szCs w:val="21"/>
              </w:rPr>
            </w:pPr>
            <w:r w:rsidRPr="006B5E4A">
              <w:rPr>
                <w:rFonts w:ascii="黑体" w:eastAsia="黑体" w:hAnsi="黑体" w:cs="Times New Roman" w:hint="eastAsia"/>
                <w:b/>
                <w:bCs/>
                <w:kern w:val="0"/>
                <w:sz w:val="32"/>
                <w:szCs w:val="32"/>
              </w:rPr>
              <w:t>四、工作要求</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（一）强化责任意识。调剂工作是研究生招生的重要组成部分，</w:t>
            </w:r>
            <w:r w:rsidRPr="006B5E4A">
              <w:rPr>
                <w:rFonts w:ascii="宋体" w:eastAsia="宋体" w:hAnsi="宋体" w:cs="Times New Roman" w:hint="eastAsia"/>
                <w:kern w:val="0"/>
                <w:sz w:val="28"/>
                <w:szCs w:val="28"/>
              </w:rPr>
              <w:lastRenderedPageBreak/>
              <w:t>是提升人才选拔质量、保证招生公平公正的重要环节。学院复试与录取工作小组要加强本学院调剂工作的管理与监督，学院主要负责人是调剂工作的第一责任人，所有调剂工作人员都应强化责任意识。</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（二）严格执行政策。各学院工作人员要加强政策学习，严格执行教育部、重庆市和学校有关调剂工作的政策要求，不打折扣、不搞变通，确保调剂工作安稳有序、公平公正。</w:t>
            </w:r>
            <w:r w:rsidRPr="006B5E4A">
              <w:rPr>
                <w:rFonts w:ascii="宋体" w:eastAsia="宋体" w:hAnsi="宋体" w:cs="Times New Roman" w:hint="eastAsia"/>
                <w:color w:val="000000"/>
                <w:kern w:val="0"/>
                <w:sz w:val="30"/>
                <w:szCs w:val="30"/>
              </w:rPr>
              <w:t>调剂复试名单须经招生</w:t>
            </w:r>
            <w:r w:rsidRPr="006B5E4A">
              <w:rPr>
                <w:rFonts w:ascii="宋体" w:eastAsia="宋体" w:hAnsi="宋体" w:cs="Times New Roman" w:hint="eastAsia"/>
                <w:color w:val="000000"/>
                <w:kern w:val="0"/>
                <w:sz w:val="28"/>
                <w:szCs w:val="28"/>
              </w:rPr>
              <w:t>学院复试录取工作小组和研究生院审核。</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（三）严肃工作纪律。各学院要加强所有参与调剂工作人员的纪律教育，强化规矩意识。各学院纪委要加强全过程的监督检查，严厉杜绝徇私舞弊、违规操作等情况发生。</w:t>
            </w:r>
          </w:p>
          <w:p w:rsidR="006B5E4A" w:rsidRPr="006B5E4A" w:rsidRDefault="006B5E4A" w:rsidP="006B5E4A">
            <w:pPr>
              <w:widowControl/>
              <w:spacing w:line="315" w:lineRule="atLeast"/>
              <w:ind w:firstLine="643"/>
              <w:jc w:val="left"/>
              <w:rPr>
                <w:rFonts w:ascii="Times New Roman" w:eastAsia="宋体" w:hAnsi="Times New Roman" w:cs="Times New Roman"/>
                <w:kern w:val="0"/>
                <w:szCs w:val="21"/>
              </w:rPr>
            </w:pPr>
            <w:r w:rsidRPr="006B5E4A">
              <w:rPr>
                <w:rFonts w:ascii="黑体" w:eastAsia="黑体" w:hAnsi="黑体" w:cs="Times New Roman" w:hint="eastAsia"/>
                <w:b/>
                <w:bCs/>
                <w:kern w:val="0"/>
                <w:sz w:val="32"/>
                <w:szCs w:val="32"/>
              </w:rPr>
              <w:t>五、调剂咨询电话</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研究生院咨询电话：023-65910997。</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招生学院咨询电话详见《重庆师范大学2023年硕士研究生招生院系联系表》。</w:t>
            </w:r>
          </w:p>
          <w:p w:rsidR="006B5E4A" w:rsidRPr="006B5E4A" w:rsidRDefault="006B5E4A" w:rsidP="006B5E4A">
            <w:pPr>
              <w:widowControl/>
              <w:spacing w:line="315" w:lineRule="atLeast"/>
              <w:ind w:firstLine="643"/>
              <w:jc w:val="left"/>
              <w:rPr>
                <w:rFonts w:ascii="Times New Roman" w:eastAsia="宋体" w:hAnsi="Times New Roman" w:cs="Times New Roman"/>
                <w:kern w:val="0"/>
                <w:szCs w:val="21"/>
              </w:rPr>
            </w:pPr>
            <w:r w:rsidRPr="006B5E4A">
              <w:rPr>
                <w:rFonts w:ascii="黑体" w:eastAsia="黑体" w:hAnsi="黑体" w:cs="Times New Roman" w:hint="eastAsia"/>
                <w:b/>
                <w:bCs/>
                <w:kern w:val="0"/>
                <w:sz w:val="32"/>
                <w:szCs w:val="32"/>
              </w:rPr>
              <w:t>六、其他</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（一）各学院应严格按照“调剂系统”中的“缺额人数”进行拟录取，不得超出。调剂过程中不得向考生作任何承诺。</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（二）其他未尽事宜，以教育部及重庆市相关文件执行。</w:t>
            </w:r>
          </w:p>
          <w:p w:rsidR="006B5E4A" w:rsidRPr="006B5E4A" w:rsidRDefault="006B5E4A" w:rsidP="006B5E4A">
            <w:pPr>
              <w:widowControl/>
              <w:spacing w:line="315" w:lineRule="atLeast"/>
              <w:ind w:firstLine="560"/>
              <w:rPr>
                <w:rFonts w:ascii="Times New Roman" w:eastAsia="宋体" w:hAnsi="Times New Roman" w:cs="Times New Roman"/>
                <w:kern w:val="0"/>
                <w:szCs w:val="21"/>
              </w:rPr>
            </w:pPr>
            <w:r w:rsidRPr="006B5E4A">
              <w:rPr>
                <w:rFonts w:ascii="宋体" w:eastAsia="宋体" w:hAnsi="宋体" w:cs="Times New Roman" w:hint="eastAsia"/>
                <w:kern w:val="0"/>
                <w:sz w:val="28"/>
                <w:szCs w:val="28"/>
              </w:rPr>
              <w:t>（三）本办法由重庆师范大学研究生院负责解释。</w:t>
            </w:r>
          </w:p>
        </w:tc>
      </w:tr>
    </w:tbl>
    <w:p w:rsidR="003C7D71" w:rsidRPr="006B5E4A" w:rsidRDefault="003C7D71">
      <w:bookmarkStart w:id="2" w:name="_GoBack"/>
      <w:bookmarkEnd w:id="2"/>
    </w:p>
    <w:sectPr w:rsidR="003C7D71" w:rsidRPr="006B5E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B"/>
    <w:rsid w:val="00300EBB"/>
    <w:rsid w:val="003C7D71"/>
    <w:rsid w:val="006B5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254871">
    <w:name w:val="timestyle254871"/>
    <w:basedOn w:val="a0"/>
    <w:rsid w:val="006B5E4A"/>
  </w:style>
  <w:style w:type="character" w:customStyle="1" w:styleId="wbcontent">
    <w:name w:val="wb_content"/>
    <w:basedOn w:val="a0"/>
    <w:rsid w:val="006B5E4A"/>
  </w:style>
  <w:style w:type="character" w:customStyle="1" w:styleId="clickstyle254871">
    <w:name w:val="clickstyle254871"/>
    <w:basedOn w:val="a0"/>
    <w:rsid w:val="006B5E4A"/>
  </w:style>
  <w:style w:type="character" w:styleId="a3">
    <w:name w:val="Strong"/>
    <w:basedOn w:val="a0"/>
    <w:uiPriority w:val="22"/>
    <w:qFormat/>
    <w:rsid w:val="006B5E4A"/>
    <w:rPr>
      <w:b/>
      <w:bCs/>
    </w:rPr>
  </w:style>
  <w:style w:type="paragraph" w:styleId="a4">
    <w:name w:val="Normal (Web)"/>
    <w:basedOn w:val="a"/>
    <w:uiPriority w:val="99"/>
    <w:semiHidden/>
    <w:unhideWhenUsed/>
    <w:rsid w:val="006B5E4A"/>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6B5E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254871">
    <w:name w:val="timestyle254871"/>
    <w:basedOn w:val="a0"/>
    <w:rsid w:val="006B5E4A"/>
  </w:style>
  <w:style w:type="character" w:customStyle="1" w:styleId="wbcontent">
    <w:name w:val="wb_content"/>
    <w:basedOn w:val="a0"/>
    <w:rsid w:val="006B5E4A"/>
  </w:style>
  <w:style w:type="character" w:customStyle="1" w:styleId="clickstyle254871">
    <w:name w:val="clickstyle254871"/>
    <w:basedOn w:val="a0"/>
    <w:rsid w:val="006B5E4A"/>
  </w:style>
  <w:style w:type="character" w:styleId="a3">
    <w:name w:val="Strong"/>
    <w:basedOn w:val="a0"/>
    <w:uiPriority w:val="22"/>
    <w:qFormat/>
    <w:rsid w:val="006B5E4A"/>
    <w:rPr>
      <w:b/>
      <w:bCs/>
    </w:rPr>
  </w:style>
  <w:style w:type="paragraph" w:styleId="a4">
    <w:name w:val="Normal (Web)"/>
    <w:basedOn w:val="a"/>
    <w:uiPriority w:val="99"/>
    <w:semiHidden/>
    <w:unhideWhenUsed/>
    <w:rsid w:val="006B5E4A"/>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6B5E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809330">
      <w:bodyDiv w:val="1"/>
      <w:marLeft w:val="0"/>
      <w:marRight w:val="0"/>
      <w:marTop w:val="0"/>
      <w:marBottom w:val="0"/>
      <w:divBdr>
        <w:top w:val="none" w:sz="0" w:space="0" w:color="auto"/>
        <w:left w:val="none" w:sz="0" w:space="0" w:color="auto"/>
        <w:bottom w:val="none" w:sz="0" w:space="0" w:color="auto"/>
        <w:right w:val="none" w:sz="0" w:space="0" w:color="auto"/>
      </w:divBdr>
      <w:divsChild>
        <w:div w:id="149175689">
          <w:marLeft w:val="0"/>
          <w:marRight w:val="0"/>
          <w:marTop w:val="0"/>
          <w:marBottom w:val="0"/>
          <w:divBdr>
            <w:top w:val="none" w:sz="0" w:space="0" w:color="auto"/>
            <w:left w:val="none" w:sz="0" w:space="0" w:color="auto"/>
            <w:bottom w:val="none" w:sz="0" w:space="0" w:color="auto"/>
            <w:right w:val="none" w:sz="0" w:space="0" w:color="auto"/>
          </w:divBdr>
          <w:divsChild>
            <w:div w:id="1332485969">
              <w:marLeft w:val="0"/>
              <w:marRight w:val="0"/>
              <w:marTop w:val="0"/>
              <w:marBottom w:val="0"/>
              <w:divBdr>
                <w:top w:val="none" w:sz="0" w:space="0" w:color="auto"/>
                <w:left w:val="none" w:sz="0" w:space="0" w:color="auto"/>
                <w:bottom w:val="none" w:sz="0" w:space="0" w:color="auto"/>
                <w:right w:val="none" w:sz="0" w:space="0" w:color="auto"/>
              </w:divBdr>
              <w:divsChild>
                <w:div w:id="139889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raduate.cqn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404</Words>
  <Characters>2308</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2023-05-13T06:53:00Z</dcterms:created>
  <dcterms:modified xsi:type="dcterms:W3CDTF">2023-05-13T06:54:00Z</dcterms:modified>
</cp:coreProperties>
</file>