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54" w:rsidRPr="00510254" w:rsidRDefault="00510254" w:rsidP="00510254">
      <w:pPr>
        <w:widowControl/>
        <w:spacing w:line="900" w:lineRule="atLeast"/>
        <w:jc w:val="center"/>
        <w:rPr>
          <w:rFonts w:ascii="微软雅黑" w:eastAsia="微软雅黑" w:hAnsi="微软雅黑" w:cs="宋体"/>
          <w:color w:val="444444"/>
          <w:kern w:val="0"/>
          <w:sz w:val="33"/>
          <w:szCs w:val="33"/>
        </w:rPr>
      </w:pPr>
      <w:r w:rsidRPr="00510254">
        <w:rPr>
          <w:rFonts w:ascii="微软雅黑" w:eastAsia="微软雅黑" w:hAnsi="微软雅黑" w:cs="宋体" w:hint="eastAsia"/>
          <w:color w:val="444444"/>
          <w:kern w:val="0"/>
          <w:sz w:val="33"/>
          <w:szCs w:val="33"/>
        </w:rPr>
        <w:t>数理与大数据学院2023年硕士研究生招生调剂公告</w:t>
      </w:r>
    </w:p>
    <w:p w:rsidR="00510254" w:rsidRPr="00510254" w:rsidRDefault="00510254" w:rsidP="00510254">
      <w:pPr>
        <w:widowControl/>
        <w:shd w:val="clear" w:color="auto" w:fill="F5F5F5"/>
        <w:spacing w:line="450" w:lineRule="atLeast"/>
        <w:jc w:val="center"/>
        <w:rPr>
          <w:rFonts w:ascii="微软雅黑" w:eastAsia="微软雅黑" w:hAnsi="微软雅黑" w:cs="宋体" w:hint="eastAsia"/>
          <w:color w:val="999999"/>
          <w:kern w:val="0"/>
          <w:szCs w:val="21"/>
        </w:rPr>
      </w:pPr>
      <w:r w:rsidRPr="00510254">
        <w:rPr>
          <w:rFonts w:ascii="微软雅黑" w:eastAsia="微软雅黑" w:hAnsi="微软雅黑" w:cs="宋体" w:hint="eastAsia"/>
          <w:color w:val="999999"/>
          <w:kern w:val="0"/>
          <w:szCs w:val="21"/>
        </w:rPr>
        <w:t>时间：2023-04-05    浏览量：440次</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按照教育部、重庆市研究生招生调剂政策要求及《重庆科技学院2023年硕士研究生招生调剂公告》，为做好我院2023年硕士研究生调剂工作，现将相关事宜公告如下。</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一、接收调剂专业</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65"/>
        <w:gridCol w:w="1305"/>
        <w:gridCol w:w="1200"/>
        <w:gridCol w:w="600"/>
        <w:gridCol w:w="1830"/>
        <w:gridCol w:w="975"/>
        <w:gridCol w:w="1365"/>
      </w:tblGrid>
      <w:tr w:rsidR="00510254" w:rsidRPr="00510254" w:rsidTr="00510254">
        <w:tc>
          <w:tcPr>
            <w:tcW w:w="10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学院</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专业</w:t>
            </w:r>
          </w:p>
        </w:tc>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研究方向</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学习</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形式</w:t>
            </w:r>
          </w:p>
        </w:tc>
        <w:tc>
          <w:tcPr>
            <w:tcW w:w="18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初试科目</w:t>
            </w:r>
          </w:p>
        </w:tc>
        <w:tc>
          <w:tcPr>
            <w:tcW w:w="9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复试</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科目</w:t>
            </w:r>
          </w:p>
        </w:tc>
        <w:tc>
          <w:tcPr>
            <w:tcW w:w="13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同等学力</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加试科目</w:t>
            </w:r>
          </w:p>
        </w:tc>
      </w:tr>
      <w:tr w:rsidR="00510254" w:rsidRPr="00510254" w:rsidTr="00510254">
        <w:tc>
          <w:tcPr>
            <w:tcW w:w="10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211数理与大数据学院</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085411</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大数据技术与工程</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（专业学位）</w:t>
            </w:r>
          </w:p>
        </w:tc>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01智能计算</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02工业大数据</w:t>
            </w:r>
          </w:p>
        </w:tc>
        <w:tc>
          <w:tcPr>
            <w:tcW w:w="6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全日制</w:t>
            </w:r>
          </w:p>
        </w:tc>
        <w:tc>
          <w:tcPr>
            <w:tcW w:w="18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①101思想政治理论</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②204英语（二）</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③302数学（二）</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④821数据库原理与应用</w:t>
            </w:r>
          </w:p>
        </w:tc>
        <w:tc>
          <w:tcPr>
            <w:tcW w:w="9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913大数据综合</w:t>
            </w:r>
          </w:p>
        </w:tc>
        <w:tc>
          <w:tcPr>
            <w:tcW w:w="136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①983</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概率论与数理统计</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②984</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Python程序设计</w:t>
            </w:r>
          </w:p>
        </w:tc>
      </w:tr>
    </w:tbl>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二、调剂条件</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（一）符合教育部有关调剂的各项规定。</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（二）考生须符合《重庆科技学院2023年硕士研究生招生简章》（网址：http://yjs.cqust.edu.ex2.https.443.ipv6.cqust.edu.cn/info/1094/3532.htm）中规定的调入专业的有关报考要求。</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（三）考生初试成绩须符合</w:t>
      </w:r>
      <w:r w:rsidRPr="00510254">
        <w:rPr>
          <w:rFonts w:ascii="微软雅黑" w:eastAsia="微软雅黑" w:hAnsi="微软雅黑" w:cs="宋体" w:hint="eastAsia"/>
          <w:b/>
          <w:bCs/>
          <w:color w:val="444444"/>
          <w:kern w:val="0"/>
          <w:szCs w:val="21"/>
        </w:rPr>
        <w:t>第一志愿报考专业</w:t>
      </w:r>
      <w:r w:rsidRPr="00510254">
        <w:rPr>
          <w:rFonts w:ascii="微软雅黑" w:eastAsia="微软雅黑" w:hAnsi="微软雅黑" w:cs="宋体" w:hint="eastAsia"/>
          <w:color w:val="444444"/>
          <w:kern w:val="0"/>
          <w:szCs w:val="21"/>
        </w:rPr>
        <w:t>对A类考生的全国初试成绩基本要求。</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（四）调入专业与第一志愿报考专业相同或相近，</w:t>
      </w:r>
      <w:r w:rsidRPr="00510254">
        <w:rPr>
          <w:rFonts w:ascii="微软雅黑" w:eastAsia="微软雅黑" w:hAnsi="微软雅黑" w:cs="宋体" w:hint="eastAsia"/>
          <w:b/>
          <w:bCs/>
          <w:color w:val="444444"/>
          <w:kern w:val="0"/>
          <w:szCs w:val="21"/>
        </w:rPr>
        <w:t>大数据技术与工程专业接受调剂报考专业为：电子信息（专业代码：0854）及其二级领域。</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（五）初试科目与调入专业初试科目相同或相近，其中初试全国统一命题科目应与调入专业全国统一命题科目相同。</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考生应当认真了解并严格按照调剂条件及相关政策要求选择填报调剂志愿。</w:t>
      </w:r>
      <w:r w:rsidRPr="00510254">
        <w:rPr>
          <w:rFonts w:ascii="微软雅黑" w:eastAsia="微软雅黑" w:hAnsi="微软雅黑" w:cs="宋体" w:hint="eastAsia"/>
          <w:b/>
          <w:bCs/>
          <w:color w:val="444444"/>
          <w:kern w:val="0"/>
          <w:szCs w:val="21"/>
        </w:rPr>
        <w:t>因不符合报考条件及相关政策要求，造成后续不能复试或录取的，后果由考生本人承担。</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lastRenderedPageBreak/>
        <w:t>三、调剂程序</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一）调剂申请：我校硕士研究生调剂系统第一次开放时间预计为2023年4月6日00:00至4月6日16:00。调剂志愿解锁时间统一为36小时。我院将于4月11日左右开始对第一批调剂考生进行复试，调剂考生复试方式为现场复试，具体安排请关注学院网站。</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请符合调剂条件的考生在规定时间内登录研招网“硕士研究生招生调剂服务系统”（http://yz.chsi.ex3.https.443.ipv6.cqust.edu.cn/yztj/），按要求填报调剂信息。最终调剂申请以考生在“中国研究生招生信息网”调剂系统登记的申请为准。</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（二）学校确定符合调剂要求的考生，并通过研招网调剂系统向考生发送复试通知。</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（三）考生须在规定的时间内登录调剂系统并确认复试通知。逾期未确认复试通知的，视为放弃复试资格。</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（四）参加复试。复试按照《重庆科技学院2023年硕士研究生招生复试录取工作办法》进行。</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（五）学校审核考生拟录取资格，并通过研招网调剂系统向考生发送拟录取通知。</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（六）考生须在规定的时间内登录调剂系统并确认拟录取通知。逾期未确认拟录取通知的，视为放弃拟录取资格。</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四、学费和奖助体系</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（一）奖助政策</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68"/>
        <w:gridCol w:w="1629"/>
        <w:gridCol w:w="3132"/>
        <w:gridCol w:w="2467"/>
      </w:tblGrid>
      <w:tr w:rsidR="00510254" w:rsidRPr="00510254" w:rsidTr="00510254">
        <w:tc>
          <w:tcPr>
            <w:tcW w:w="2835"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奖助类别</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奖助金额</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资助范围</w:t>
            </w:r>
          </w:p>
        </w:tc>
      </w:tr>
      <w:tr w:rsidR="00510254" w:rsidRPr="00510254" w:rsidTr="00510254">
        <w:tc>
          <w:tcPr>
            <w:tcW w:w="118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奖学金</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国家奖学金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2万元</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依据当年相关文件评定</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校长奖学金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1万元</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依据当年相关文件评定</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学业奖学金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0.4-1万元/年</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100%覆盖研一新生和按计划完成阶段学业的二、三年级研究生</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企业奖学金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0.2-1万元/生</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依据当年相关文件评定</w:t>
            </w:r>
          </w:p>
        </w:tc>
      </w:tr>
      <w:tr w:rsidR="00510254" w:rsidRPr="00510254" w:rsidTr="00510254">
        <w:tc>
          <w:tcPr>
            <w:tcW w:w="118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助学金</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国家助学金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0.6万元/生</w:t>
            </w:r>
            <w:r w:rsidRPr="00510254">
              <w:rPr>
                <w:rFonts w:ascii="MS Gothic" w:eastAsia="MS Gothic" w:hAnsi="MS Gothic" w:cs="MS Gothic"/>
                <w:kern w:val="0"/>
                <w:szCs w:val="21"/>
              </w:rPr>
              <w:t>･</w:t>
            </w:r>
            <w:r w:rsidRPr="00510254">
              <w:rPr>
                <w:rFonts w:ascii="宋体" w:eastAsia="宋体" w:hAnsi="宋体" w:cs="宋体"/>
                <w:kern w:val="0"/>
                <w:szCs w:val="21"/>
              </w:rPr>
              <w:t>年</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100%覆盖</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学校助学金</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0.2万元/生</w:t>
            </w:r>
            <w:r w:rsidRPr="00510254">
              <w:rPr>
                <w:rFonts w:ascii="MS Gothic" w:eastAsia="MS Gothic" w:hAnsi="MS Gothic" w:cs="MS Gothic"/>
                <w:kern w:val="0"/>
                <w:szCs w:val="21"/>
              </w:rPr>
              <w:t>･</w:t>
            </w:r>
            <w:r w:rsidRPr="00510254">
              <w:rPr>
                <w:rFonts w:ascii="宋体" w:eastAsia="宋体" w:hAnsi="宋体" w:cs="宋体"/>
                <w:kern w:val="0"/>
                <w:szCs w:val="21"/>
              </w:rPr>
              <w:t>年</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100%覆盖</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“三助一辅”</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岗位津贴</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不低于300元/生</w:t>
            </w:r>
            <w:r w:rsidRPr="00510254">
              <w:rPr>
                <w:rFonts w:ascii="MS Gothic" w:eastAsia="MS Gothic" w:hAnsi="MS Gothic" w:cs="MS Gothic"/>
                <w:kern w:val="0"/>
                <w:szCs w:val="21"/>
              </w:rPr>
              <w:t>･</w:t>
            </w:r>
            <w:r w:rsidRPr="00510254">
              <w:rPr>
                <w:rFonts w:ascii="宋体" w:eastAsia="宋体" w:hAnsi="宋体" w:cs="宋体"/>
                <w:kern w:val="0"/>
                <w:szCs w:val="21"/>
              </w:rPr>
              <w:t>月</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100%覆盖</w:t>
            </w:r>
          </w:p>
        </w:tc>
      </w:tr>
      <w:tr w:rsidR="00510254" w:rsidRPr="00510254" w:rsidTr="00510254">
        <w:tc>
          <w:tcPr>
            <w:tcW w:w="1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科技创新</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创新计划项目</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0.5-1万元/项</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依据当年相关文件执行</w:t>
            </w:r>
          </w:p>
        </w:tc>
      </w:tr>
      <w:tr w:rsidR="00510254" w:rsidRPr="00510254" w:rsidTr="00510254">
        <w:tc>
          <w:tcPr>
            <w:tcW w:w="118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其他专项</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国际交流学习</w:t>
            </w:r>
          </w:p>
        </w:tc>
        <w:tc>
          <w:tcPr>
            <w:tcW w:w="31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0.3-2万元/生</w:t>
            </w:r>
          </w:p>
        </w:tc>
        <w:tc>
          <w:tcPr>
            <w:tcW w:w="25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择优评选</w:t>
            </w:r>
          </w:p>
        </w:tc>
      </w:tr>
      <w:tr w:rsidR="00510254" w:rsidRPr="00510254" w:rsidTr="0051025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10254" w:rsidRPr="00510254" w:rsidRDefault="00510254" w:rsidP="00510254">
            <w:pPr>
              <w:widowControl/>
              <w:jc w:val="left"/>
              <w:rPr>
                <w:rFonts w:ascii="宋体" w:eastAsia="宋体" w:hAnsi="宋体" w:cs="宋体"/>
                <w:kern w:val="0"/>
                <w:szCs w:val="21"/>
              </w:rPr>
            </w:pPr>
          </w:p>
        </w:tc>
        <w:tc>
          <w:tcPr>
            <w:tcW w:w="733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贫困学生可申请国家助学贷款或生源地贷款</w:t>
            </w:r>
          </w:p>
        </w:tc>
      </w:tr>
    </w:tbl>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注：1.各类助学金资助对象不包括有固定工资收入者；</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2.各类奖助学金和创新计划项目资助面向全日制硕士研究生评选，评选细则以学校相关文件及通知为准。</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（二）收费标准、学制及学习形式</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89"/>
        <w:gridCol w:w="1623"/>
        <w:gridCol w:w="1789"/>
        <w:gridCol w:w="1657"/>
        <w:gridCol w:w="976"/>
        <w:gridCol w:w="1462"/>
      </w:tblGrid>
      <w:tr w:rsidR="00510254" w:rsidRPr="00510254" w:rsidTr="00510254">
        <w:tc>
          <w:tcPr>
            <w:tcW w:w="9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类别</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专业</w:t>
            </w:r>
          </w:p>
        </w:tc>
        <w:tc>
          <w:tcPr>
            <w:tcW w:w="18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学费</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（每生每年）</w:t>
            </w:r>
          </w:p>
        </w:tc>
        <w:tc>
          <w:tcPr>
            <w:tcW w:w="16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住宿费</w:t>
            </w:r>
          </w:p>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（每生每年）</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学制</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b/>
                <w:bCs/>
                <w:kern w:val="0"/>
                <w:szCs w:val="21"/>
              </w:rPr>
              <w:t>学习形式</w:t>
            </w:r>
          </w:p>
        </w:tc>
      </w:tr>
      <w:tr w:rsidR="00510254" w:rsidRPr="00510254" w:rsidTr="00510254">
        <w:tc>
          <w:tcPr>
            <w:tcW w:w="9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专业学位</w:t>
            </w:r>
          </w:p>
        </w:tc>
        <w:tc>
          <w:tcPr>
            <w:tcW w:w="16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大数据技术与工程</w:t>
            </w:r>
          </w:p>
        </w:tc>
        <w:tc>
          <w:tcPr>
            <w:tcW w:w="18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9000元</w:t>
            </w:r>
          </w:p>
        </w:tc>
        <w:tc>
          <w:tcPr>
            <w:tcW w:w="16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1200元</w:t>
            </w:r>
          </w:p>
        </w:tc>
        <w:tc>
          <w:tcPr>
            <w:tcW w:w="99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3年</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10254" w:rsidRPr="00510254" w:rsidRDefault="00510254" w:rsidP="00510254">
            <w:pPr>
              <w:widowControl/>
              <w:spacing w:line="315" w:lineRule="atLeast"/>
              <w:rPr>
                <w:rFonts w:ascii="宋体" w:eastAsia="宋体" w:hAnsi="宋体" w:cs="宋体"/>
                <w:kern w:val="0"/>
                <w:szCs w:val="21"/>
              </w:rPr>
            </w:pPr>
            <w:r w:rsidRPr="00510254">
              <w:rPr>
                <w:rFonts w:ascii="宋体" w:eastAsia="宋体" w:hAnsi="宋体" w:cs="宋体"/>
                <w:kern w:val="0"/>
                <w:szCs w:val="21"/>
              </w:rPr>
              <w:t>全日制</w:t>
            </w:r>
          </w:p>
        </w:tc>
      </w:tr>
    </w:tbl>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五、其他</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学院网址：http://slxy.cqust.edu.ex2.https.443.ipv6.cqust.edu.cn/jyjx/yjsjy.htm</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联系人：任老师、彭老师</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手 机：18202318859、15523748215</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QQ群号：532316424</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未尽事宜，按照教育部及重庆市政策执行。</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b/>
          <w:bCs/>
          <w:color w:val="444444"/>
          <w:kern w:val="0"/>
          <w:szCs w:val="21"/>
        </w:rPr>
        <w:t>热忱欢迎广大考生调剂到重庆科技学院数理与大数据学院攻读硕士研究生！</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                                  重庆科技学院数理与大数据学院</w:t>
      </w:r>
    </w:p>
    <w:p w:rsidR="00510254" w:rsidRPr="00510254" w:rsidRDefault="00510254" w:rsidP="00510254">
      <w:pPr>
        <w:widowControl/>
        <w:spacing w:line="315" w:lineRule="atLeast"/>
        <w:ind w:firstLine="480"/>
        <w:rPr>
          <w:rFonts w:ascii="微软雅黑" w:eastAsia="微软雅黑" w:hAnsi="微软雅黑" w:cs="宋体" w:hint="eastAsia"/>
          <w:color w:val="444444"/>
          <w:kern w:val="0"/>
          <w:szCs w:val="21"/>
        </w:rPr>
      </w:pPr>
      <w:r w:rsidRPr="00510254">
        <w:rPr>
          <w:rFonts w:ascii="微软雅黑" w:eastAsia="微软雅黑" w:hAnsi="微软雅黑" w:cs="宋体" w:hint="eastAsia"/>
          <w:color w:val="444444"/>
          <w:kern w:val="0"/>
          <w:szCs w:val="21"/>
        </w:rPr>
        <w:t>                                       2023年4月5日</w:t>
      </w:r>
    </w:p>
    <w:p w:rsidR="00C660FD" w:rsidRDefault="00C660FD">
      <w:bookmarkStart w:id="0" w:name="_GoBack"/>
      <w:bookmarkEnd w:id="0"/>
    </w:p>
    <w:sectPr w:rsidR="00C660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F36"/>
    <w:rsid w:val="00510254"/>
    <w:rsid w:val="00C660FD"/>
    <w:rsid w:val="00CF7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510254"/>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102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0254"/>
    <w:rPr>
      <w:b/>
      <w:bCs/>
    </w:rPr>
  </w:style>
  <w:style w:type="paragraph" w:customStyle="1" w:styleId="vsbcontentend">
    <w:name w:val="vsbcontent_end"/>
    <w:basedOn w:val="a"/>
    <w:rsid w:val="0051025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510254"/>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1025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10254"/>
    <w:rPr>
      <w:b/>
      <w:bCs/>
    </w:rPr>
  </w:style>
  <w:style w:type="paragraph" w:customStyle="1" w:styleId="vsbcontentend">
    <w:name w:val="vsbcontent_end"/>
    <w:basedOn w:val="a"/>
    <w:rsid w:val="0051025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081309">
      <w:bodyDiv w:val="1"/>
      <w:marLeft w:val="0"/>
      <w:marRight w:val="0"/>
      <w:marTop w:val="0"/>
      <w:marBottom w:val="0"/>
      <w:divBdr>
        <w:top w:val="none" w:sz="0" w:space="0" w:color="auto"/>
        <w:left w:val="none" w:sz="0" w:space="0" w:color="auto"/>
        <w:bottom w:val="none" w:sz="0" w:space="0" w:color="auto"/>
        <w:right w:val="none" w:sz="0" w:space="0" w:color="auto"/>
      </w:divBdr>
      <w:divsChild>
        <w:div w:id="118693041">
          <w:marLeft w:val="0"/>
          <w:marRight w:val="0"/>
          <w:marTop w:val="300"/>
          <w:marBottom w:val="0"/>
          <w:divBdr>
            <w:top w:val="none" w:sz="0" w:space="0" w:color="auto"/>
            <w:left w:val="none" w:sz="0" w:space="0" w:color="auto"/>
            <w:bottom w:val="none" w:sz="0" w:space="0" w:color="auto"/>
            <w:right w:val="none" w:sz="0" w:space="0" w:color="auto"/>
          </w:divBdr>
        </w:div>
        <w:div w:id="1343125619">
          <w:marLeft w:val="0"/>
          <w:marRight w:val="0"/>
          <w:marTop w:val="150"/>
          <w:marBottom w:val="150"/>
          <w:divBdr>
            <w:top w:val="none" w:sz="0" w:space="0" w:color="auto"/>
            <w:left w:val="none" w:sz="0" w:space="0" w:color="auto"/>
            <w:bottom w:val="none" w:sz="0" w:space="0" w:color="auto"/>
            <w:right w:val="none" w:sz="0" w:space="0" w:color="auto"/>
          </w:divBdr>
        </w:div>
        <w:div w:id="2047289546">
          <w:marLeft w:val="0"/>
          <w:marRight w:val="0"/>
          <w:marTop w:val="0"/>
          <w:marBottom w:val="0"/>
          <w:divBdr>
            <w:top w:val="none" w:sz="0" w:space="0" w:color="auto"/>
            <w:left w:val="none" w:sz="0" w:space="0" w:color="auto"/>
            <w:bottom w:val="none" w:sz="0" w:space="0" w:color="auto"/>
            <w:right w:val="none" w:sz="0" w:space="0" w:color="auto"/>
          </w:divBdr>
          <w:divsChild>
            <w:div w:id="1494569376">
              <w:marLeft w:val="0"/>
              <w:marRight w:val="0"/>
              <w:marTop w:val="0"/>
              <w:marBottom w:val="0"/>
              <w:divBdr>
                <w:top w:val="none" w:sz="0" w:space="0" w:color="auto"/>
                <w:left w:val="none" w:sz="0" w:space="0" w:color="auto"/>
                <w:bottom w:val="none" w:sz="0" w:space="0" w:color="auto"/>
                <w:right w:val="none" w:sz="0" w:space="0" w:color="auto"/>
              </w:divBdr>
              <w:divsChild>
                <w:div w:id="269818854">
                  <w:marLeft w:val="0"/>
                  <w:marRight w:val="0"/>
                  <w:marTop w:val="0"/>
                  <w:marBottom w:val="0"/>
                  <w:divBdr>
                    <w:top w:val="none" w:sz="0" w:space="0" w:color="auto"/>
                    <w:left w:val="none" w:sz="0" w:space="0" w:color="auto"/>
                    <w:bottom w:val="none" w:sz="0" w:space="0" w:color="auto"/>
                    <w:right w:val="none" w:sz="0" w:space="0" w:color="auto"/>
                  </w:divBdr>
                  <w:divsChild>
                    <w:div w:id="1481919317">
                      <w:marLeft w:val="0"/>
                      <w:marRight w:val="0"/>
                      <w:marTop w:val="0"/>
                      <w:marBottom w:val="0"/>
                      <w:divBdr>
                        <w:top w:val="none" w:sz="0" w:space="0" w:color="auto"/>
                        <w:left w:val="none" w:sz="0" w:space="0" w:color="auto"/>
                        <w:bottom w:val="none" w:sz="0" w:space="0" w:color="auto"/>
                        <w:right w:val="none" w:sz="0" w:space="0" w:color="auto"/>
                      </w:divBdr>
                      <w:divsChild>
                        <w:div w:id="342052366">
                          <w:marLeft w:val="0"/>
                          <w:marRight w:val="0"/>
                          <w:marTop w:val="0"/>
                          <w:marBottom w:val="0"/>
                          <w:divBdr>
                            <w:top w:val="none" w:sz="0" w:space="0" w:color="auto"/>
                            <w:left w:val="none" w:sz="0" w:space="0" w:color="auto"/>
                            <w:bottom w:val="none" w:sz="0" w:space="0" w:color="auto"/>
                            <w:right w:val="none" w:sz="0" w:space="0" w:color="auto"/>
                          </w:divBdr>
                        </w:div>
                        <w:div w:id="834299946">
                          <w:marLeft w:val="0"/>
                          <w:marRight w:val="0"/>
                          <w:marTop w:val="0"/>
                          <w:marBottom w:val="0"/>
                          <w:divBdr>
                            <w:top w:val="none" w:sz="0" w:space="0" w:color="auto"/>
                            <w:left w:val="none" w:sz="0" w:space="0" w:color="auto"/>
                            <w:bottom w:val="none" w:sz="0" w:space="0" w:color="auto"/>
                            <w:right w:val="none" w:sz="0" w:space="0" w:color="auto"/>
                          </w:divBdr>
                        </w:div>
                        <w:div w:id="10750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291</Words>
  <Characters>1664</Characters>
  <Application>Microsoft Office Word</Application>
  <DocSecurity>0</DocSecurity>
  <Lines>13</Lines>
  <Paragraphs>3</Paragraphs>
  <ScaleCrop>false</ScaleCrop>
  <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2023-05-12T09:03:00Z</dcterms:created>
  <dcterms:modified xsi:type="dcterms:W3CDTF">2023-05-12T09:03:00Z</dcterms:modified>
</cp:coreProperties>
</file>