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2F3F7"/>
        <w:spacing w:before="150" w:beforeAutospacing="0" w:after="0" w:afterAutospacing="0" w:line="380" w:lineRule="atLeast"/>
        <w:ind w:left="0" w:right="0" w:firstLine="280"/>
        <w:jc w:val="center"/>
        <w:rPr>
          <w:rFonts w:ascii="微软雅黑" w:hAnsi="微软雅黑" w:eastAsia="微软雅黑" w:cs="微软雅黑"/>
          <w:b/>
          <w:bCs/>
          <w:i w:val="0"/>
          <w:iCs w:val="0"/>
          <w:caps w:val="0"/>
          <w:color w:val="000000"/>
          <w:spacing w:val="0"/>
          <w:sz w:val="18"/>
          <w:szCs w:val="18"/>
        </w:rPr>
      </w:pPr>
      <w:bookmarkStart w:id="0" w:name="_GoBack"/>
      <w:r>
        <w:rPr>
          <w:rFonts w:hint="eastAsia" w:ascii="微软雅黑" w:hAnsi="微软雅黑" w:eastAsia="微软雅黑" w:cs="微软雅黑"/>
          <w:b/>
          <w:bCs/>
          <w:i w:val="0"/>
          <w:iCs w:val="0"/>
          <w:caps w:val="0"/>
          <w:color w:val="000000"/>
          <w:spacing w:val="0"/>
          <w:sz w:val="18"/>
          <w:szCs w:val="18"/>
          <w:bdr w:val="none" w:color="auto" w:sz="0" w:space="0"/>
          <w:shd w:val="clear" w:fill="F2F3F7"/>
        </w:rPr>
        <w:t>长春中医药大学2023年硕士研究生招生调剂公告（二）</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2F3F7"/>
        <w:spacing w:before="0" w:beforeAutospacing="0" w:after="0" w:afterAutospacing="0" w:line="100" w:lineRule="atLeast"/>
        <w:ind w:left="0" w:right="0" w:firstLine="280"/>
        <w:jc w:val="center"/>
        <w:rPr>
          <w:rFonts w:hint="eastAsia" w:ascii="微软雅黑" w:hAnsi="微软雅黑" w:eastAsia="微软雅黑" w:cs="微软雅黑"/>
          <w:i w:val="0"/>
          <w:iCs w:val="0"/>
          <w:caps w:val="0"/>
          <w:color w:val="999999"/>
          <w:spacing w:val="0"/>
          <w:sz w:val="14"/>
          <w:szCs w:val="14"/>
        </w:rPr>
      </w:pPr>
      <w:r>
        <w:rPr>
          <w:rFonts w:hint="eastAsia" w:ascii="微软雅黑" w:hAnsi="微软雅黑" w:eastAsia="微软雅黑" w:cs="微软雅黑"/>
          <w:i w:val="0"/>
          <w:iCs w:val="0"/>
          <w:caps w:val="0"/>
          <w:color w:val="999999"/>
          <w:spacing w:val="0"/>
          <w:sz w:val="14"/>
          <w:szCs w:val="14"/>
          <w:bdr w:val="none" w:color="auto" w:sz="0" w:space="0"/>
          <w:shd w:val="clear" w:fill="F2F3F7"/>
        </w:rPr>
        <w:t>时间：2023-04-18    点击：[9444]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根据《长春中医药大学2023年硕士研究生复试录取工作方案》要求，结合第一志愿复试录取情况，我校开始接收调剂考生，现公告如下。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ascii="黑体" w:hAnsi="宋体" w:eastAsia="黑体" w:cs="黑体"/>
          <w:i w:val="0"/>
          <w:iCs w:val="0"/>
          <w:caps w:val="0"/>
          <w:color w:val="000000"/>
          <w:spacing w:val="0"/>
          <w:sz w:val="21"/>
          <w:szCs w:val="21"/>
          <w:bdr w:val="none" w:color="auto" w:sz="0" w:space="0"/>
          <w:shd w:val="clear" w:fill="F2F3F7"/>
        </w:rPr>
        <w:t>一、</w:t>
      </w:r>
      <w:r>
        <w:rPr>
          <w:rFonts w:hint="eastAsia" w:ascii="黑体" w:hAnsi="宋体" w:eastAsia="黑体" w:cs="黑体"/>
          <w:i w:val="0"/>
          <w:iCs w:val="0"/>
          <w:caps w:val="0"/>
          <w:color w:val="000000"/>
          <w:spacing w:val="0"/>
          <w:sz w:val="21"/>
          <w:szCs w:val="21"/>
          <w:bdr w:val="none" w:color="auto" w:sz="0" w:space="0"/>
          <w:shd w:val="clear" w:fill="F2F3F7"/>
        </w:rPr>
        <w:t>接收调剂专业信息</w:t>
      </w:r>
    </w:p>
    <w:tbl>
      <w:tblPr>
        <w:tblW w:w="560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0"/>
        <w:gridCol w:w="1300"/>
        <w:gridCol w:w="620"/>
        <w:gridCol w:w="630"/>
        <w:gridCol w:w="1100"/>
        <w:gridCol w:w="540"/>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序号</w:t>
            </w:r>
          </w:p>
        </w:tc>
        <w:tc>
          <w:tcPr>
            <w:tcW w:w="12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学院</w:t>
            </w:r>
          </w:p>
        </w:tc>
        <w:tc>
          <w:tcPr>
            <w:tcW w:w="61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类型</w:t>
            </w:r>
          </w:p>
        </w:tc>
        <w:tc>
          <w:tcPr>
            <w:tcW w:w="62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代码</w:t>
            </w:r>
          </w:p>
        </w:tc>
        <w:tc>
          <w:tcPr>
            <w:tcW w:w="10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专业名称</w:t>
            </w:r>
          </w:p>
        </w:tc>
        <w:tc>
          <w:tcPr>
            <w:tcW w:w="53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预计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缺额</w:t>
            </w:r>
          </w:p>
        </w:tc>
        <w:tc>
          <w:tcPr>
            <w:tcW w:w="9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Style w:val="6"/>
                <w:rFonts w:hint="eastAsia" w:ascii="黑体" w:hAnsi="宋体" w:eastAsia="黑体" w:cs="黑体"/>
                <w:b/>
                <w:bCs/>
                <w:i w:val="0"/>
                <w:iCs w:val="0"/>
                <w:color w:val="000000"/>
                <w:sz w:val="13"/>
                <w:szCs w:val="13"/>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基础医学院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中医基础理论</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4</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基础医学院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100502</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中医临床基础</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3</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基础医学院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100503</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中医医史文献</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4</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基础医学院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100504</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方剂学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4</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5</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基础医学院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100505</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中医诊断学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6</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（附属医院）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100507</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中医外科学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7</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（附属医院）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100509</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中医妇科学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8</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（附属医院）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105704</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中医妇科学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9</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药学院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100701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药物化学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药学院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1008Z2</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中药化学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11</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药学院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1008Z3</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中药药理学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12</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药学院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1008Z8</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中药鉴定学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0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13</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100601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中西医结合基础</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9</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01方向2个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03方向7个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14</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105101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内科学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3</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15</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105102</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儿科学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16</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105104</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神经病学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3</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17</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105109</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全科医学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18</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105111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外科学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3</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19</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105112</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儿外科学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20</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105117</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耳鼻咽喉科学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21</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105118</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麻醉学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22</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105124</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超声医学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23</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马克思主义学院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030501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马克思主义基本原理</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24</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100602</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中西医结合临床</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5</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3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25</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学术型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1006Z1</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中西医结合临床基础</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01方向1个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02方向1个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26</w:t>
            </w:r>
          </w:p>
        </w:tc>
        <w:tc>
          <w:tcPr>
            <w:tcW w:w="12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中西医结合学院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105709</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中西医结合临床</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27</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（吉林省中医药科学院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第一临床医院）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105705</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中医儿科学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28</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（长春市中医院）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105703</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中医骨伤科学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20" w:hRule="atLeast"/>
          <w:tblCellSpacing w:w="0" w:type="dxa"/>
        </w:trPr>
        <w:tc>
          <w:tcPr>
            <w:tcW w:w="4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29</w:t>
            </w:r>
          </w:p>
        </w:tc>
        <w:tc>
          <w:tcPr>
            <w:tcW w:w="12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（长春市中医院）</w:t>
            </w:r>
          </w:p>
        </w:tc>
        <w:tc>
          <w:tcPr>
            <w:tcW w:w="6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专业型</w:t>
            </w:r>
          </w:p>
        </w:tc>
        <w:tc>
          <w:tcPr>
            <w:tcW w:w="62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105704</w:t>
            </w:r>
          </w:p>
        </w:tc>
        <w:tc>
          <w:tcPr>
            <w:tcW w:w="10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中医妇科学</w:t>
            </w:r>
          </w:p>
        </w:tc>
        <w:tc>
          <w:tcPr>
            <w:tcW w:w="53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990" w:type="dxa"/>
            <w:tcBorders>
              <w:top w:val="nil"/>
              <w:left w:val="nil"/>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spacing w:before="0" w:beforeAutospacing="0" w:after="0" w:afterAutospacing="0"/>
              <w:ind w:left="0" w:right="0"/>
              <w:jc w:val="left"/>
            </w:pP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二、调剂条件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1.调剂考生须登录“全国硕士生招生调剂服务系统”进行调剂。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2.调剂考生须符合教育部调剂政策和学校各学科专业基本报考条件（详见《长春中医药大学2023年硕士研究生招生简章》）。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3.初试成绩达国家A区基本线。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三、调剂原则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1.考生调入专业与第一志愿报考专业相同或相近，且在同一学科门类范围内，初试科目与调入专业初试科目相同或相近。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2.报考临床医学类专业学位硕士研究生的考生，可按相关政策调剂到其他专业，报考其他专业（含医学学术学位）的考生不可调剂到临床医学类专业学位。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3.所有符合申请调剂的考生均应符合接受调剂专业的其他要求，应在同一学科门类范围内（专业代码前2位数相同）进行调剂。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4.对于已进入我校第一志愿复试范围却不参加复试的考生，我校将不接受其调剂申请。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5.对于专业复试不合格的考生，不接受其调剂到该专业的申请。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6.调剂邀请比例不低于1:1.2。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7.只接受全日制本科学历调剂。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我校所有调剂考生的接收工作均通过教育部指定的全国硕士生招生调剂服务系统进行。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1.开放调剂系统。我校调剂系统将从2023年4月19日16:00开通，关闭时间为4月20日12:00，如到关闭时间为止，未达到调剂需求的专业将顺延系统关闭时间。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2.填报志愿。调剂服务系统开放后，考生登陆研究生招生信息网(http://yz.chsi.com.cn)进入调剂服务系统，填报调剂志愿，志愿锁定时间为36小时。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择优调剂。我校将在调剂系统关闭后24小时内下载考生志愿信息，审核考生调剂资格。对申请同一招生单位同一专业、初试科目完全相同的调剂考生，按考生初试成绩择优遴选进入复试，并通过研究生招生信息网调剂系统向获得复试资格的考生发送复试通知，每名考生只允许填报我校本批次一个志愿，专业代码不同即视为不同志愿。复试名单确定后，我校将统一解锁其他考生的志愿，请考生填报志愿后耐心等待。若调剂系统关闭后24小时后，考生未收到复试通知则意味调剂失败，考生可自行决定是否修改志愿。未发放复试通知的志愿将在系统中保留，因考生放弃、未接受待录取通知等原因造成空缺时，将优先在已有志愿中增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五、复试安排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调剂复试采用现场复试的形式，每位考生一般不少于20分钟，调剂复试考核内容与要求同一志愿考生。调剂复试时间预计在4月22日后，具体复试工作根据《长春中医药大学2023年硕士研究生招生复试录取工作方案》进行，复试具体流程及时间节点由各招生单位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发出复试通知。我校发放复试通知后，考生应于8小时内登录调剂系统接受复试通知，否则将取消调剂复试资格。如不参加复试，可拒绝复试通知。逾期未接收复试通知的，取消复试资格并在调剂服务系统中取消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2.考生参加复试。考生接受复试通知后联系学院秘书，并根据研究生院网站公布的《长春中医药大学2023年硕士研究生复试录取工作方案》要求准备资格审核材料，按照学院的具体要求参加复试。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3.考生接受待录取。复试结束后三日内，我校会通过研究生招生信息网向拟录取考生发放待录取通知，考生应于12小时内接受待录取通知，否则取消待录取资格。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六、调剂咨询方式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    1.各招生单位咨询电话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000000"/>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2F3F7"/>
        </w:rPr>
        <w:t> </w:t>
      </w:r>
    </w:p>
    <w:tbl>
      <w:tblPr>
        <w:tblW w:w="581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40"/>
        <w:gridCol w:w="2800"/>
        <w:gridCol w:w="920"/>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blCellSpacing w:w="0" w:type="dxa"/>
        </w:trPr>
        <w:tc>
          <w:tcPr>
            <w:tcW w:w="62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序号</w:t>
            </w:r>
          </w:p>
        </w:tc>
        <w:tc>
          <w:tcPr>
            <w:tcW w:w="27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招生单位</w:t>
            </w:r>
          </w:p>
        </w:tc>
        <w:tc>
          <w:tcPr>
            <w:tcW w:w="91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联系人</w:t>
            </w:r>
          </w:p>
        </w:tc>
        <w:tc>
          <w:tcPr>
            <w:tcW w:w="1490" w:type="dxa"/>
            <w:tcBorders>
              <w:top w:val="single" w:color="000000" w:sz="4" w:space="0"/>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咨询电话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w:t>
            </w:r>
          </w:p>
        </w:tc>
        <w:tc>
          <w:tcPr>
            <w:tcW w:w="27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基础医学院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王利锋</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18004402264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2</w:t>
            </w:r>
          </w:p>
        </w:tc>
        <w:tc>
          <w:tcPr>
            <w:tcW w:w="27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中医学院（附属医院）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史梦琦</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0431-86177835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3</w:t>
            </w:r>
          </w:p>
        </w:tc>
        <w:tc>
          <w:tcPr>
            <w:tcW w:w="27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药学院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王琳</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0431-86172211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4</w:t>
            </w:r>
          </w:p>
        </w:tc>
        <w:tc>
          <w:tcPr>
            <w:tcW w:w="27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临床医学院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宋春艳</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18801215025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5</w:t>
            </w:r>
          </w:p>
        </w:tc>
        <w:tc>
          <w:tcPr>
            <w:tcW w:w="27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马克思主义学院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姜皓</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13756886583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0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6</w:t>
            </w:r>
          </w:p>
        </w:tc>
        <w:tc>
          <w:tcPr>
            <w:tcW w:w="27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中西医结合学院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李双双</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0431-89912034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7</w:t>
            </w:r>
          </w:p>
        </w:tc>
        <w:tc>
          <w:tcPr>
            <w:tcW w:w="27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（吉林省中医药科学院第一临床医院）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胡婷婷</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0431-86816829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90" w:hRule="atLeast"/>
          <w:tblCellSpacing w:w="0" w:type="dxa"/>
        </w:trPr>
        <w:tc>
          <w:tcPr>
            <w:tcW w:w="62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8</w:t>
            </w:r>
          </w:p>
        </w:tc>
        <w:tc>
          <w:tcPr>
            <w:tcW w:w="279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中医学院</w:t>
            </w:r>
            <w:r>
              <w:rPr>
                <w:rFonts w:hint="eastAsia" w:ascii="黑体" w:hAnsi="宋体" w:eastAsia="黑体" w:cs="黑体"/>
                <w:i w:val="0"/>
                <w:iCs w:val="0"/>
                <w:color w:val="000000"/>
                <w:sz w:val="13"/>
                <w:szCs w:val="13"/>
                <w:bdr w:val="none" w:color="auto" w:sz="0" w:space="0"/>
              </w:rPr>
              <w:br w:type="textWrapping"/>
            </w:r>
            <w:r>
              <w:rPr>
                <w:rFonts w:hint="eastAsia" w:ascii="黑体" w:hAnsi="宋体" w:eastAsia="黑体" w:cs="黑体"/>
                <w:i w:val="0"/>
                <w:iCs w:val="0"/>
                <w:color w:val="000000"/>
                <w:sz w:val="13"/>
                <w:szCs w:val="13"/>
                <w:bdr w:val="none" w:color="auto" w:sz="0" w:space="0"/>
              </w:rPr>
              <w:t>（长春市中医院）</w:t>
            </w:r>
          </w:p>
        </w:tc>
        <w:tc>
          <w:tcPr>
            <w:tcW w:w="91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马赫擎</w:t>
            </w:r>
          </w:p>
        </w:tc>
        <w:tc>
          <w:tcPr>
            <w:tcW w:w="1490" w:type="dxa"/>
            <w:tcBorders>
              <w:top w:val="nil"/>
              <w:left w:val="nil"/>
              <w:bottom w:val="single" w:color="000000" w:sz="4" w:space="0"/>
              <w:right w:val="single" w:color="000000" w:sz="4" w:space="0"/>
            </w:tcBorders>
            <w:shd w:val="clear"/>
            <w:noWrap/>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center"/>
              <w:rPr>
                <w:color w:val="000000"/>
                <w:sz w:val="14"/>
                <w:szCs w:val="14"/>
              </w:rPr>
            </w:pPr>
            <w:r>
              <w:rPr>
                <w:rFonts w:hint="eastAsia" w:ascii="黑体" w:hAnsi="宋体" w:eastAsia="黑体" w:cs="黑体"/>
                <w:i w:val="0"/>
                <w:iCs w:val="0"/>
                <w:color w:val="000000"/>
                <w:sz w:val="13"/>
                <w:szCs w:val="13"/>
                <w:bdr w:val="none" w:color="auto" w:sz="0" w:space="0"/>
              </w:rPr>
              <w:t>15943024977</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000000"/>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2F3F7"/>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21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  2.学校研招办咨询电话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0431-86172607、86172399</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黑体" w:hAnsi="宋体" w:eastAsia="黑体" w:cs="黑体"/>
          <w:i w:val="0"/>
          <w:iCs w:val="0"/>
          <w:caps w:val="0"/>
          <w:color w:val="000000"/>
          <w:spacing w:val="0"/>
          <w:sz w:val="21"/>
          <w:szCs w:val="21"/>
          <w:bdr w:val="none" w:color="auto" w:sz="0" w:space="0"/>
          <w:shd w:val="clear" w:fill="F2F3F7"/>
        </w:rPr>
        <w:t>七、调剂注意事项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1.申请调剂考生默认均已详细阅读我校公布的《长春中医药大学2023年硕士研究生招生简章》规定的调入专业的报考条件，同时还应满足调剂专业的要求，后期如若产生因为考生不详细阅读上述条件而导致的一切后果由考生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2.考生应提前登陆研究生招生信息网，查看调剂服务系统使用说明，了解相关调剂规则，并提前登录研招网测试本人账号是否正常，如有问题，及时联系研招网客服。以免调剂服务系统开通后无法报名，错失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3.报考我校的调剂志愿如被修改，意味着取消了我校的调剂志愿，将不能被我校查询到调剂志愿并且无法发送复试通知。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4.考生如在复试通知发送前修改报考我校的调剂志愿，将失去调剂机会。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5.后续如因调整招生计划、考生放弃复试等原因出现空额，将优先在系统中仍有的调剂志愿中增补。如考生已修改调剂志愿，将失去调剂机会。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6.为避免网络堵塞，建议广大考生合理安排好报名时间，尽量错峰提交调剂志愿。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7.不接收曾拒绝我校复试通知考生的调剂申请；不接收我校已公布的拟录取考生的调剂申请；我校不接受住院医师规范化培训在培学员调剂。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8.研究生院可根据调剂生源情况对专业缺额数量做适当调整，最终名额以研招网调剂系统公布名额为准。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9.调剂考生必须保证提交的材料真实有效，对不符合我校调剂条件的考生，一经查实，立即取消其复试资格。若因不符合我校调剂要求或弄虚作假而造成无法复试或者无法通过上级招考部门录取检查的，由考生自行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30"/>
        <w:jc w:val="left"/>
        <w:rPr>
          <w:color w:val="000000"/>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left"/>
        <w:rPr>
          <w:color w:val="000000"/>
          <w:sz w:val="14"/>
          <w:szCs w:val="14"/>
        </w:rPr>
      </w:pPr>
      <w:r>
        <w:rPr>
          <w:rFonts w:hint="eastAsia" w:ascii="微软雅黑" w:hAnsi="微软雅黑" w:eastAsia="微软雅黑" w:cs="微软雅黑"/>
          <w:i w:val="0"/>
          <w:iCs w:val="0"/>
          <w:caps w:val="0"/>
          <w:color w:val="000000"/>
          <w:spacing w:val="0"/>
          <w:sz w:val="14"/>
          <w:szCs w:val="14"/>
          <w:bdr w:val="none" w:color="auto" w:sz="0" w:space="0"/>
          <w:shd w:val="clear" w:fill="F2F3F7"/>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righ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           长春中医药大学研究生院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1280"/>
        <w:jc w:val="right"/>
        <w:rPr>
          <w:color w:val="000000"/>
          <w:sz w:val="14"/>
          <w:szCs w:val="14"/>
        </w:rPr>
      </w:pPr>
      <w:r>
        <w:rPr>
          <w:rFonts w:hint="eastAsia" w:ascii="宋体" w:hAnsi="宋体" w:eastAsia="宋体" w:cs="宋体"/>
          <w:i w:val="0"/>
          <w:iCs w:val="0"/>
          <w:caps w:val="0"/>
          <w:color w:val="000000"/>
          <w:spacing w:val="0"/>
          <w:sz w:val="21"/>
          <w:szCs w:val="21"/>
          <w:bdr w:val="none" w:color="auto" w:sz="0" w:space="0"/>
          <w:shd w:val="clear" w:fill="F2F3F7"/>
        </w:rPr>
        <w:t>                2023年4月18日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AEF2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2622</Words>
  <Characters>3006</Characters>
  <Lines>0</Lines>
  <Paragraphs>0</Paragraphs>
  <TotalTime>0</TotalTime>
  <ScaleCrop>false</ScaleCrop>
  <LinksUpToDate>false</LinksUpToDate>
  <CharactersWithSpaces>3046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2023-05-30T01:53:56Z</dcterms:created>
  <dc:creator>Administrator</dc:creator>
  <cp:lastModifiedBy>王英</cp:lastModifiedBy>
  <dcterms:modified xsi:type="dcterms:W3CDTF">2023-05-30T01:54:07Z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27A3FB710E04487BA79F72EECB019A5C</vt:lpwstr>
  </property>
</Properties>
</file>