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8FE"/>
        <w:spacing w:before="0" w:beforeAutospacing="0" w:after="0" w:afterAutospacing="0"/>
        <w:ind w:left="0" w:right="0" w:firstLine="0"/>
        <w:jc w:val="center"/>
        <w:rPr>
          <w:rFonts w:hint="eastAsia" w:ascii="Verdana" w:hAnsi="Verdana" w:cs="Verdana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4F8FE"/>
        </w:rPr>
        <w:t>长春大学电子信息工程学院2023年硕士研究生复试相关通知（第三次调剂）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dott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8FE"/>
        <w:spacing w:before="0" w:beforeAutospacing="0" w:after="0" w:afterAutospacing="0" w:line="24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2"/>
          <w:szCs w:val="12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2"/>
          <w:szCs w:val="12"/>
          <w:bdr w:val="none" w:color="auto" w:sz="0" w:space="0"/>
          <w:shd w:val="clear" w:fill="F4F8FE"/>
        </w:rPr>
        <w:t>2023年04月11日 14:28  点击：[</w:t>
      </w:r>
      <w:r>
        <w:rPr>
          <w:rFonts w:hint="default" w:ascii="Verdana" w:hAnsi="Verdana" w:cs="Verdana"/>
          <w:i w:val="0"/>
          <w:iCs w:val="0"/>
          <w:caps w:val="0"/>
          <w:color w:val="888888"/>
          <w:spacing w:val="0"/>
          <w:sz w:val="12"/>
          <w:szCs w:val="12"/>
          <w:bdr w:val="none" w:color="auto" w:sz="0" w:space="0"/>
          <w:shd w:val="clear" w:fill="F4F8FE"/>
        </w:rPr>
        <w:t>389</w:t>
      </w: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2"/>
          <w:szCs w:val="12"/>
          <w:bdr w:val="none" w:color="auto" w:sz="0" w:space="0"/>
          <w:shd w:val="clear" w:fill="F4F8FE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一、复试时间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调剂复试时间：2023年4月12日（星期三）上午9点开始，请考生在12小时内接受复试通知。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二、复试形式与内容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1.根据我校实际情况，在确保公平和可操作的前提下，决定对专业复试和面试等采取网络远程复试方式。网络远程复试考生应提前备好软硬件条件和网络环境，提前安装指定软件，考生一般需要双机位模式参加复试。网络远程复试具体要求见《长春大学电子信息工程学院2023年硕士研究生招生网络远程复试细则》。我院将提前与各位考生取得联系，请各位考生配合完成网络远程复试软件测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2.复试是研究生招生考试的重要组成部分，用于考查考生的思想品德、创新能力、专业素养和综合素质等，是研究生录取的必要环节，未参加复试或复试不合格者不予录取。复试内容包括三个模块，见表1。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表1复试内容及分数占比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0"/>
        <w:gridCol w:w="1060"/>
        <w:gridCol w:w="1880"/>
        <w:gridCol w:w="17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模块名称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模块一(100分)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专业素质考核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模块二(100分)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综合素质考核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模块三（合格/不合格）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思想品德面试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总成绩占比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15%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15%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不合格者不予录取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考核内容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考核内容见《长春大学2023年硕士研究生招生目录》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①专业知识考核；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②专业能力考核（大学阶段学习情况及成绩；本学科专业理论知识和应用技能掌握程度，利用所学理论发现、分析和解决问题的能力，对本学科发展动态的了解以及在本专业领域发展的潜力；专业学位研究生更加突出对专业知识的应用和专业能力倾向的考查，加强对考生实践经验和科研动手能力等方面的考查；创新精神和创新能力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③外语听力及口语水平考核。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①思想政治素质和道德品质等；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②本学科以外的学习、科研、社会实践（学生工作、社团活动、志愿服务等）或实际工作表现等方面的情况；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③事业心、责任感、纪律性（遵纪守法）、协作性和心理健康情况；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④人文素养、举止、表达和礼仪等。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三、</w:t>
      </w:r>
      <w:r>
        <w:rPr>
          <w:rStyle w:val="6"/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085406控制工程复试名单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0"/>
        <w:gridCol w:w="1260"/>
        <w:gridCol w:w="640"/>
        <w:gridCol w:w="640"/>
        <w:gridCol w:w="760"/>
        <w:gridCol w:w="760"/>
        <w:gridCol w:w="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外国语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政治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业务课一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业务课二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刘煜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100543000008288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程硕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102953211917182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曹天赐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102513000007647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李爽爽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100793000005303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刘晨浩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104033085406143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苗明炀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100793000005501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许昊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102903210604910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杨珂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106983515017253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夏志鹏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104243530003447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四、监督和申诉渠道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复试全程由长春大学电子信息工程学院党委全程巡视监督，并接受考生申诉。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申诉电话：0431-85250310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1A1A1A"/>
          <w:spacing w:val="0"/>
          <w:sz w:val="14"/>
          <w:szCs w:val="14"/>
          <w:bdr w:val="none" w:color="auto" w:sz="0" w:space="0"/>
          <w:shd w:val="clear" w:fill="F4F8FE"/>
        </w:rPr>
        <w:t>长春大学电子信息工程学院研究生招生工作领导小组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2E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2023-05-30T08:56:21Z</dcterms:created>
  <dc:creator>Administrator</dc:creator>
  <cp:lastModifiedBy>王英</cp:lastModifiedBy>
  <dcterms:modified xsi:type="dcterms:W3CDTF">2023-05-30T08:56:28Z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AB67AB365249433F95BBF3E09E8A0C42</vt:lpwstr>
  </property>
</Properties>
</file>