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160" w:beforeAutospacing="0" w:line="15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F3F3F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F3F3F"/>
          <w:spacing w:val="0"/>
          <w:kern w:val="0"/>
          <w:sz w:val="20"/>
          <w:szCs w:val="20"/>
          <w:bdr w:val="none" w:color="auto" w:sz="0" w:space="0"/>
          <w:shd w:val="clear" w:fill="FCFCFC"/>
          <w:lang w:val="en-US" w:eastAsia="zh-CN" w:bidi="ar"/>
        </w:rPr>
        <w:t>长春工业大学2023年硕士研究生招生调剂公告（三）</w:t>
      </w:r>
    </w:p>
    <w:bookmarkEnd w:id="0"/>
    <w:p>
      <w:pPr>
        <w:keepNext w:val="0"/>
        <w:keepLines w:val="0"/>
        <w:widowControl/>
        <w:suppressLineNumbers w:val="0"/>
        <w:pBdr>
          <w:top w:val="single" w:color="E1E1E1" w:sz="4" w:space="1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160" w:beforeAutospacing="0" w:line="50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3737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37373"/>
          <w:spacing w:val="0"/>
          <w:kern w:val="0"/>
          <w:sz w:val="14"/>
          <w:szCs w:val="14"/>
          <w:bdr w:val="none" w:color="auto" w:sz="0" w:space="0"/>
          <w:shd w:val="clear" w:fill="FCFCFC"/>
          <w:lang w:val="en-US" w:eastAsia="zh-CN" w:bidi="ar"/>
        </w:rPr>
        <w:t>发布者：　来源： 　日期：2023-04-12 13:53:35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202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3年我校尚有部分专业需调剂。现将有关调剂事宜通知如下：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ascii="黑体" w:hAnsi="宋体" w:eastAsia="黑体" w:cs="黑体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一、</w:t>
      </w:r>
      <w:r>
        <w:rPr>
          <w:rFonts w:hint="eastAsia" w:ascii="黑体" w:hAnsi="宋体" w:eastAsia="黑体" w:cs="黑体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接收调剂考生专业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Style w:val="5"/>
          <w:rFonts w:ascii="楷体_GB2312" w:hAnsi="楷体_GB2312" w:eastAsia="楷体_GB2312" w:cs="楷体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（一）学术学位研究生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86"/>
        <w:gridCol w:w="1686"/>
        <w:gridCol w:w="1241"/>
        <w:gridCol w:w="1529"/>
        <w:gridCol w:w="23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院系所名称</w:t>
            </w:r>
          </w:p>
        </w:tc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2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学习形式</w:t>
            </w:r>
          </w:p>
        </w:tc>
        <w:tc>
          <w:tcPr>
            <w:tcW w:w="31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0802Z2</w:t>
            </w:r>
          </w:p>
        </w:tc>
        <w:tc>
          <w:tcPr>
            <w:tcW w:w="1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智能制造工程</w:t>
            </w:r>
          </w:p>
        </w:tc>
        <w:tc>
          <w:tcPr>
            <w:tcW w:w="2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1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after="70" w:afterAutospacing="0"/>
              <w:ind w:left="0" w:firstLine="0"/>
              <w:rPr>
                <w:color w:val="3F3F3F"/>
              </w:rPr>
            </w:pPr>
            <w:r>
              <w:rPr>
                <w:rFonts w:hint="default" w:ascii="仿宋_GB2312" w:hAnsi="仿宋_GB2312" w:eastAsia="仿宋_GB2312" w:cs="仿宋_GB2312"/>
                <w:color w:val="3F3F3F"/>
                <w:bdr w:val="none" w:color="auto" w:sz="0" w:space="0"/>
              </w:rPr>
              <w:t>1.可接收统考数学一、英语一的专业学位考生；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hint="default" w:ascii="仿宋_GB2312" w:hAnsi="仿宋_GB2312" w:eastAsia="仿宋_GB2312" w:cs="仿宋_GB2312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2.不接收同等学力考生；</w:t>
            </w:r>
            <w:r>
              <w:rPr>
                <w:rFonts w:hint="default" w:ascii="仿宋_GB2312" w:hAnsi="仿宋_GB2312" w:eastAsia="仿宋_GB2312" w:cs="仿宋_GB2312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3.要求本科专业为相关或相近专业。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电气与电子工程学院</w:t>
            </w:r>
          </w:p>
        </w:tc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2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1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hint="default" w:ascii="仿宋_GB2312" w:hAnsi="仿宋_GB2312" w:eastAsia="仿宋_GB2312" w:cs="仿宋_GB2312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1.可接收统考数学一、英语一的专业学位考生。</w:t>
            </w:r>
            <w:r>
              <w:rPr>
                <w:rFonts w:hint="default" w:ascii="仿宋_GB2312" w:hAnsi="仿宋_GB2312" w:eastAsia="仿宋_GB2312" w:cs="仿宋_GB2312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2.不接收同等学力考生。</w:t>
            </w:r>
            <w:r>
              <w:rPr>
                <w:rFonts w:hint="default" w:ascii="仿宋_GB2312" w:hAnsi="仿宋_GB2312" w:eastAsia="仿宋_GB2312" w:cs="仿宋_GB2312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仿宋_GB2312" w:eastAsia="仿宋_GB2312" w:cs="仿宋_GB2312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3.要求本科专业为：自动化、电气工程及其自动化、测控技术及仪器、电子信息工程、机器人工程、轨道交通信号与控制、计算机科学与技术。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计算机科学与工程学院</w:t>
            </w:r>
          </w:p>
        </w:tc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081000</w:t>
            </w:r>
          </w:p>
        </w:tc>
        <w:tc>
          <w:tcPr>
            <w:tcW w:w="1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2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1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可接收统考数学一、英语一的专业学位考生。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6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070305</w:t>
            </w:r>
          </w:p>
        </w:tc>
        <w:tc>
          <w:tcPr>
            <w:tcW w:w="1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高分子化学与物理</w:t>
            </w:r>
          </w:p>
        </w:tc>
        <w:tc>
          <w:tcPr>
            <w:tcW w:w="2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1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6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1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2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1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可接收统考数学二、英语一的专业学位考生。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数学与统计学院</w:t>
            </w:r>
          </w:p>
        </w:tc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1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2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1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6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050205</w:t>
            </w:r>
          </w:p>
        </w:tc>
        <w:tc>
          <w:tcPr>
            <w:tcW w:w="1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日语语言文学</w:t>
            </w:r>
          </w:p>
        </w:tc>
        <w:tc>
          <w:tcPr>
            <w:tcW w:w="2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1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26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050211</w:t>
            </w:r>
          </w:p>
        </w:tc>
        <w:tc>
          <w:tcPr>
            <w:tcW w:w="1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外国语言学及应用语言学</w:t>
            </w:r>
          </w:p>
        </w:tc>
        <w:tc>
          <w:tcPr>
            <w:tcW w:w="20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1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楷体_GB2312" w:hAnsi="楷体_GB2312" w:eastAsia="楷体_GB2312" w:cs="楷体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（二）</w:t>
      </w:r>
      <w:r>
        <w:rPr>
          <w:rStyle w:val="5"/>
          <w:rFonts w:hint="default" w:ascii="楷体_GB2312" w:hAnsi="楷体_GB2312" w:eastAsia="楷体_GB2312" w:cs="楷体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专业学位研究生</w:t>
      </w:r>
    </w:p>
    <w:tbl>
      <w:tblPr>
        <w:tblW w:w="-19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01"/>
        <w:gridCol w:w="1701"/>
        <w:gridCol w:w="1701"/>
        <w:gridCol w:w="1701"/>
        <w:gridCol w:w="17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8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院系所名称</w:t>
            </w:r>
          </w:p>
        </w:tc>
        <w:tc>
          <w:tcPr>
            <w:tcW w:w="18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8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8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学习形式</w:t>
            </w:r>
          </w:p>
        </w:tc>
        <w:tc>
          <w:tcPr>
            <w:tcW w:w="18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88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18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025100</w:t>
            </w:r>
          </w:p>
        </w:tc>
        <w:tc>
          <w:tcPr>
            <w:tcW w:w="18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</w:t>
            </w:r>
          </w:p>
        </w:tc>
        <w:tc>
          <w:tcPr>
            <w:tcW w:w="18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8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88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18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8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8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88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125100</w:t>
            </w:r>
          </w:p>
        </w:tc>
        <w:tc>
          <w:tcPr>
            <w:tcW w:w="18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工商管理</w:t>
            </w:r>
          </w:p>
        </w:tc>
        <w:tc>
          <w:tcPr>
            <w:tcW w:w="18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18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8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化学工程学院</w:t>
            </w:r>
          </w:p>
        </w:tc>
        <w:tc>
          <w:tcPr>
            <w:tcW w:w="18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085602</w:t>
            </w:r>
          </w:p>
        </w:tc>
        <w:tc>
          <w:tcPr>
            <w:tcW w:w="18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18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88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15" w:lineRule="atLeast"/>
        <w:ind w:left="0"/>
        <w:rPr>
          <w:color w:val="3F3F3F"/>
        </w:rPr>
      </w:pP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F3F3F"/>
          <w:spacing w:val="0"/>
          <w:sz w:val="16"/>
          <w:szCs w:val="16"/>
          <w:bdr w:val="none" w:color="auto" w:sz="0" w:space="0"/>
          <w:shd w:val="clear" w:fill="FCFCFC"/>
        </w:rPr>
        <w:t>注：各专业拟调剂人数待</w:t>
      </w:r>
      <w:r>
        <w:rPr>
          <w:rFonts w:hint="eastAsia" w:ascii="黑体" w:hAnsi="宋体" w:eastAsia="黑体" w:cs="黑体"/>
          <w:i w:val="0"/>
          <w:iCs w:val="0"/>
          <w:caps w:val="0"/>
          <w:color w:val="3F3F3F"/>
          <w:spacing w:val="0"/>
          <w:sz w:val="16"/>
          <w:szCs w:val="16"/>
          <w:bdr w:val="none" w:color="auto" w:sz="0" w:space="0"/>
          <w:shd w:val="clear" w:fill="FFFFFF"/>
        </w:rPr>
        <w:t>“全国硕士生招生调剂服务系统”开通后请考生登录查看，如有多轮调剂，学校将根据实际情况适当调整。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二、调剂基本条件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1.符合调入专业的报考条件。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2.初试成绩符合第一志愿报考专业在“全国初试成绩基本要求”中对“A类考生”的要求，且符合申请调入专业在“全国初试成绩基本要求”中对“A类考生”的要求。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3.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CFCFC"/>
        </w:rPr>
        <w:t>调入专业与第一志愿报考专业相同或相近。应在同一学科门类范围内。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CFCFC"/>
        </w:rPr>
        <w:t>4.初试科目与调入专业初试科目相同或相近，其中初试全国统一命题科目应与调入专业全国统一命题科目相同。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5.满足《2023年全国硕士研究生招生工作管理规定》相关要求。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三、调剂流程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1.请有调剂意向的考生在“全国硕士生招生调剂服务系统”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-10"/>
          <w:sz w:val="21"/>
          <w:szCs w:val="21"/>
          <w:bdr w:val="none" w:color="auto" w:sz="0" w:space="0"/>
          <w:shd w:val="clear" w:fill="FFFFFF"/>
        </w:rPr>
        <w:t>开通后，及时登陆中国研究生招生信息网（http://yz.chsi.com.cn）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，凭本人账号和密码进入调剂系统，按要求填写调剂志愿。我校调剂志愿解锁时间为24小时。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2.我校将于24小时之内通过“全国硕士生招生调剂服务系统”筛选考生，确定是否接收调剂并发送复试通知。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3.考生需在我校发出复试通知后12小时内登陆“全国硕士生招生调剂服务系统”确认我校复试通知。如不参加复试，可拒绝复试通知，逾期未接受复试通知的，取消复试资格。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4考生确认复试通知后，请登陆我校研究生院网站查看2023年招生专业目录及复试通知，按要求做好复试准备。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5.复试结束后我校会及时通过“全国硕士生招生调剂服务系统”向拟录取考生发放待录取通知，考生应于12小时内登陆“全国硕士生招生调剂服务系统”接受待录取，否则取消录取资格。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6.考生应慎重接受待录取通知，接受后一律不予解除。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四、调剂时间安排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1. 我校调剂系统首次开通时间为2023年4月12日晚20时， 关闭时间为4月13日上午8时。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2.调剂考生复试待录取后，如部分专业还有缺额，我校将再次开通调剂系统，并在研究生院网站发布相关信息，请考生及时关注。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五、其他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1.2023年我校调剂复试方式采取网络远程复试的方式进行，不组织笔试，招生专业目录中所列的复试笔试科目，按照原考核范围纳入到网络远程复试中，通过面试的方式一并进行考核。整体工作流程和相关要求可查看《长春工业大学2023年硕士研究生复试录取工作方案》进行了解，具体工作安排我校将提前在研究生院网站进行发布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2.复试平台选用“学信网”的招生远程面试系统。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3.我校调剂采取差额复试的方式进行，原则上差额比例不低于120%。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4.考生如在我校复试通知发送前修改或申请解锁报考我校的调剂志愿，将失去我校调剂机会。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5.调剂公告若有未完全表述相关要求的，以教育部政策为准。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六、联系方式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2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办公电话：0431—85716566、82275960、85716157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2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联系人：蔡老师、刘老师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3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长春工业大学2023年硕士研究生招生咨询QQ群：437625653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370" w:lineRule="atLeast"/>
        <w:ind w:left="0" w:firstLine="420"/>
        <w:jc w:val="both"/>
        <w:rPr>
          <w:color w:val="3F3F3F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F3F3F"/>
          <w:spacing w:val="0"/>
          <w:sz w:val="21"/>
          <w:szCs w:val="21"/>
          <w:bdr w:val="none" w:color="auto" w:sz="0" w:space="0"/>
          <w:shd w:val="clear" w:fill="FFFFFF"/>
        </w:rPr>
        <w:t>研究生院网站：http://www.yjsy.ccut.edu.cn/（相关通知会在此网站通知，请考生及时查看）</w:t>
      </w:r>
    </w:p>
    <w:p>
      <w:pPr>
        <w:pStyle w:val="2"/>
        <w:keepNext w:val="0"/>
        <w:keepLines w:val="0"/>
        <w:widowControl/>
        <w:suppressLineNumbers w:val="0"/>
        <w:spacing w:before="322" w:beforeAutospacing="0" w:after="70" w:afterAutospacing="0" w:line="15" w:lineRule="atLeast"/>
        <w:ind w:left="0"/>
        <w:rPr>
          <w:color w:val="3F3F3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3C7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1567</Words>
  <Characters>1781</Characters>
  <Lines>0</Lines>
  <Paragraphs>0</Paragraphs>
  <TotalTime>0</TotalTime>
  <ScaleCrop>false</ScaleCrop>
  <LinksUpToDate>false</LinksUpToDate>
  <CharactersWithSpaces>1787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2023-05-30T07:58:04Z</dcterms:created>
  <dc:creator>Administrator</dc:creator>
  <cp:lastModifiedBy>王英</cp:lastModifiedBy>
  <dcterms:modified xsi:type="dcterms:W3CDTF">2023-05-30T07:58:16Z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B7CA8A38A13E406F8AB9EA9259AE1795</vt:lpwstr>
  </property>
</Properties>
</file>