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DEDEDE" w:sz="4" w:space="10"/>
          <w:right w:val="none" w:color="auto" w:sz="0" w:space="0"/>
        </w:pBdr>
        <w:shd w:val="clear" w:fill="FFFFFF"/>
        <w:spacing w:before="250" w:beforeAutospacing="0" w:after="200" w:afterAutospacing="0" w:line="340" w:lineRule="atLeast"/>
        <w:ind w:left="0" w:right="0" w:firstLine="0"/>
        <w:jc w:val="center"/>
        <w:textAlignment w:val="baseline"/>
        <w:rPr>
          <w:rFonts w:ascii="微软雅黑" w:hAnsi="微软雅黑" w:eastAsia="微软雅黑" w:cs="微软雅黑"/>
          <w:i w:val="0"/>
          <w:iCs w:val="0"/>
          <w:caps w:val="0"/>
          <w:color w:val="3E3E3E"/>
          <w:spacing w:val="0"/>
          <w:sz w:val="24"/>
          <w:szCs w:val="24"/>
        </w:rPr>
      </w:pPr>
      <w:bookmarkStart w:id="0" w:name="_GoBack"/>
      <w:r>
        <w:rPr>
          <w:rFonts w:hint="eastAsia" w:ascii="微软雅黑" w:hAnsi="微软雅黑" w:eastAsia="微软雅黑" w:cs="微软雅黑"/>
          <w:i w:val="0"/>
          <w:iCs w:val="0"/>
          <w:caps w:val="0"/>
          <w:color w:val="3E3E3E"/>
          <w:spacing w:val="0"/>
          <w:sz w:val="24"/>
          <w:szCs w:val="24"/>
          <w:bdr w:val="none" w:color="auto" w:sz="0" w:space="0"/>
          <w:shd w:val="clear" w:fill="FFFFFF"/>
          <w:vertAlign w:val="baseline"/>
        </w:rPr>
        <w:t>机电工程学院2023年硕士研究生招生考试第一批调剂复试通知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50" w:afterAutospacing="0"/>
        <w:ind w:left="0" w:right="0" w:firstLine="0"/>
        <w:jc w:val="center"/>
        <w:textAlignment w:val="baseline"/>
        <w:rPr>
          <w:rFonts w:hint="eastAsia" w:ascii="微软雅黑" w:hAnsi="微软雅黑" w:eastAsia="微软雅黑" w:cs="微软雅黑"/>
          <w:i w:val="0"/>
          <w:iCs w:val="0"/>
          <w:caps w:val="0"/>
          <w:color w:val="3E3E3E"/>
          <w:spacing w:val="0"/>
          <w:sz w:val="12"/>
          <w:szCs w:val="12"/>
        </w:rPr>
      </w:pPr>
      <w:r>
        <w:rPr>
          <w:rFonts w:hint="eastAsia" w:ascii="微软雅黑" w:hAnsi="微软雅黑" w:eastAsia="微软雅黑" w:cs="微软雅黑"/>
          <w:i w:val="0"/>
          <w:iCs w:val="0"/>
          <w:caps w:val="0"/>
          <w:color w:val="3E3E3E"/>
          <w:spacing w:val="0"/>
          <w:kern w:val="0"/>
          <w:sz w:val="12"/>
          <w:szCs w:val="12"/>
          <w:bdr w:val="none" w:color="auto" w:sz="0" w:space="0"/>
          <w:shd w:val="clear" w:fill="FFFFFF"/>
          <w:vertAlign w:val="baseline"/>
          <w:lang w:val="en-US" w:eastAsia="zh-CN" w:bidi="ar"/>
        </w:rPr>
        <w:t>2023-04-07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68" w:afterAutospacing="0" w:line="500" w:lineRule="atLeast"/>
        <w:ind w:left="0" w:right="0"/>
        <w:jc w:val="center"/>
        <w:textAlignment w:val="baseline"/>
      </w:pPr>
      <w:r>
        <w:rPr>
          <w:rFonts w:ascii="黑体" w:hAnsi="宋体" w:eastAsia="黑体" w:cs="黑体"/>
          <w:i w:val="0"/>
          <w:iCs w:val="0"/>
          <w:caps w:val="0"/>
          <w:color w:val="3E3E3E"/>
          <w:spacing w:val="0"/>
          <w:sz w:val="28"/>
          <w:szCs w:val="28"/>
          <w:bdr w:val="none" w:color="auto" w:sz="0" w:space="0"/>
          <w:shd w:val="clear" w:fill="FFFFFF"/>
          <w:vertAlign w:val="baseline"/>
        </w:rPr>
        <w:t>机电工程学院</w:t>
      </w:r>
      <w:r>
        <w:rPr>
          <w:rFonts w:hint="eastAsia" w:ascii="黑体" w:hAnsi="宋体" w:eastAsia="黑体" w:cs="黑体"/>
          <w:i w:val="0"/>
          <w:iCs w:val="0"/>
          <w:caps w:val="0"/>
          <w:color w:val="3E3E3E"/>
          <w:spacing w:val="0"/>
          <w:sz w:val="28"/>
          <w:szCs w:val="28"/>
          <w:bdr w:val="none" w:color="auto" w:sz="0" w:space="0"/>
          <w:shd w:val="clear" w:fill="FFFFFF"/>
          <w:vertAlign w:val="baseline"/>
        </w:rPr>
        <w:t>2023年硕士研究生招生考试第一批调剂复试通知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ascii="仿宋_GB2312" w:hAnsi="微软雅黑" w:eastAsia="仿宋_GB2312" w:cs="仿宋_GB2312"/>
          <w:b/>
          <w:bCs/>
          <w:i w:val="0"/>
          <w:iCs w:val="0"/>
          <w:caps w:val="0"/>
          <w:color w:val="3E3E3E"/>
          <w:spacing w:val="0"/>
          <w:sz w:val="28"/>
          <w:szCs w:val="28"/>
          <w:bdr w:val="none" w:color="auto" w:sz="0" w:space="0"/>
          <w:shd w:val="clear" w:fill="FFFFFF"/>
          <w:vertAlign w:val="baseline"/>
        </w:rPr>
        <w:t>一、复试方式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2023年硕士研究生复试采取网络远程复试方式。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FF0000"/>
          <w:spacing w:val="0"/>
          <w:sz w:val="28"/>
          <w:szCs w:val="28"/>
          <w:bdr w:val="none" w:color="auto" w:sz="0" w:space="0"/>
          <w:shd w:val="clear" w:fill="FFFFFF"/>
          <w:vertAlign w:val="baseline"/>
        </w:rPr>
        <w:t>原有复试笔试不再单独组织进行，相关内容纳入面试中一并考核。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网络远程复试采取</w:t>
      </w:r>
      <w:r>
        <w:rPr>
          <w:rFonts w:hint="eastAsia" w:ascii="宋体" w:hAnsi="宋体" w:eastAsia="宋体" w:cs="宋体"/>
          <w:i w:val="0"/>
          <w:iCs w:val="0"/>
          <w:caps w:val="0"/>
          <w:color w:val="3E3E3E"/>
          <w:spacing w:val="0"/>
          <w:sz w:val="28"/>
          <w:szCs w:val="28"/>
          <w:bdr w:val="none" w:color="auto" w:sz="0" w:space="0"/>
          <w:shd w:val="clear" w:fill="FFFFFF"/>
          <w:vertAlign w:val="baseline"/>
        </w:rPr>
        <w:t>“</w:t>
      </w: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双机位</w:t>
      </w:r>
      <w:r>
        <w:rPr>
          <w:rFonts w:hint="eastAsia" w:ascii="宋体" w:hAnsi="宋体" w:eastAsia="宋体" w:cs="宋体"/>
          <w:i w:val="0"/>
          <w:iCs w:val="0"/>
          <w:caps w:val="0"/>
          <w:color w:val="3E3E3E"/>
          <w:spacing w:val="0"/>
          <w:sz w:val="28"/>
          <w:szCs w:val="28"/>
          <w:bdr w:val="none" w:color="auto" w:sz="0" w:space="0"/>
          <w:shd w:val="clear" w:fill="FFFFFF"/>
          <w:vertAlign w:val="baseline"/>
        </w:rPr>
        <w:t>”</w:t>
      </w: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方式进行。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二、复试名单的确定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所有通过教育部调剂服务系统确认接收到复试通知的考生均可参加本次复试,加入QQ群：368456009。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三、学院招生工作领导小组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组长：宋林森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成员：武小林、刘凤德、王蕊、李学光、刘佳、刘贵军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秘书：赵伟宏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8"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四、各专业拟调剂招生人数</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97"/>
        <w:gridCol w:w="2052"/>
        <w:gridCol w:w="2341"/>
        <w:gridCol w:w="17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510" w:hRule="atLeast"/>
          <w:jc w:val="center"/>
        </w:trPr>
        <w:tc>
          <w:tcPr>
            <w:tcW w:w="1197" w:type="dxa"/>
            <w:tcBorders>
              <w:top w:val="nil"/>
              <w:left w:val="nil"/>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b/>
                <w:bCs/>
                <w:color w:val="333333"/>
                <w:sz w:val="24"/>
                <w:szCs w:val="24"/>
                <w:bdr w:val="none" w:color="auto" w:sz="0" w:space="0"/>
                <w:vertAlign w:val="baseline"/>
              </w:rPr>
              <w:t>类型</w:t>
            </w:r>
          </w:p>
        </w:tc>
        <w:tc>
          <w:tcPr>
            <w:tcW w:w="2052" w:type="dxa"/>
            <w:tcBorders>
              <w:top w:val="nil"/>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b/>
                <w:bCs/>
                <w:color w:val="333333"/>
                <w:sz w:val="24"/>
                <w:szCs w:val="24"/>
                <w:bdr w:val="none" w:color="auto" w:sz="0" w:space="0"/>
                <w:vertAlign w:val="baseline"/>
              </w:rPr>
              <w:t>专业代码</w:t>
            </w:r>
          </w:p>
        </w:tc>
        <w:tc>
          <w:tcPr>
            <w:tcW w:w="2341" w:type="dxa"/>
            <w:tcBorders>
              <w:top w:val="nil"/>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b/>
                <w:bCs/>
                <w:color w:val="333333"/>
                <w:sz w:val="24"/>
                <w:szCs w:val="24"/>
                <w:bdr w:val="none" w:color="auto" w:sz="0" w:space="0"/>
                <w:vertAlign w:val="baseline"/>
              </w:rPr>
              <w:t>专业名称</w:t>
            </w:r>
          </w:p>
        </w:tc>
        <w:tc>
          <w:tcPr>
            <w:tcW w:w="1768" w:type="dxa"/>
            <w:tcBorders>
              <w:top w:val="nil"/>
              <w:left w:val="single" w:color="auto" w:sz="6" w:space="0"/>
              <w:bottom w:val="single" w:color="auto" w:sz="6" w:space="0"/>
              <w:right w:val="nil"/>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b/>
                <w:bCs/>
                <w:color w:val="333333"/>
                <w:sz w:val="24"/>
                <w:szCs w:val="24"/>
                <w:bdr w:val="none" w:color="auto" w:sz="0" w:space="0"/>
                <w:vertAlign w:val="baseline"/>
              </w:rPr>
              <w:t>拟招生人数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jc w:val="center"/>
        </w:trPr>
        <w:tc>
          <w:tcPr>
            <w:tcW w:w="1197" w:type="dxa"/>
            <w:vMerge w:val="restart"/>
            <w:tcBorders>
              <w:top w:val="single" w:color="auto" w:sz="6" w:space="0"/>
              <w:left w:val="nil"/>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全日制</w:t>
            </w:r>
          </w:p>
        </w:tc>
        <w:tc>
          <w:tcPr>
            <w:tcW w:w="2052"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080200</w:t>
            </w:r>
          </w:p>
        </w:tc>
        <w:tc>
          <w:tcPr>
            <w:tcW w:w="2341"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机械工程（学硕）</w:t>
            </w:r>
          </w:p>
        </w:tc>
        <w:tc>
          <w:tcPr>
            <w:tcW w:w="1768" w:type="dxa"/>
            <w:tcBorders>
              <w:top w:val="single" w:color="auto" w:sz="6" w:space="0"/>
              <w:left w:val="single" w:color="auto" w:sz="6" w:space="0"/>
              <w:bottom w:val="single" w:color="auto" w:sz="6" w:space="0"/>
              <w:right w:val="nil"/>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jc w:val="center"/>
        </w:trPr>
        <w:tc>
          <w:tcPr>
            <w:tcW w:w="1197" w:type="dxa"/>
            <w:vMerge w:val="continue"/>
            <w:tcBorders>
              <w:top w:val="single" w:color="auto" w:sz="6" w:space="0"/>
              <w:left w:val="nil"/>
              <w:bottom w:val="single" w:color="auto" w:sz="6" w:space="0"/>
              <w:right w:val="single" w:color="auto" w:sz="6" w:space="0"/>
            </w:tcBorders>
            <w:shd w:val="clear"/>
            <w:tcMar>
              <w:left w:w="101" w:type="dxa"/>
              <w:right w:w="101" w:type="dxa"/>
            </w:tcMar>
            <w:vAlign w:val="center"/>
          </w:tcPr>
          <w:p>
            <w:pPr>
              <w:rPr>
                <w:rFonts w:hint="eastAsia" w:ascii="微软雅黑" w:hAnsi="微软雅黑" w:eastAsia="微软雅黑" w:cs="微软雅黑"/>
                <w:color w:val="333333"/>
                <w:sz w:val="12"/>
                <w:szCs w:val="12"/>
              </w:rPr>
            </w:pPr>
          </w:p>
        </w:tc>
        <w:tc>
          <w:tcPr>
            <w:tcW w:w="2052" w:type="dxa"/>
            <w:tcBorders>
              <w:top w:val="single" w:color="auto" w:sz="6" w:space="0"/>
              <w:left w:val="single" w:color="auto" w:sz="6" w:space="0"/>
              <w:bottom w:val="nil"/>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085500</w:t>
            </w:r>
          </w:p>
        </w:tc>
        <w:tc>
          <w:tcPr>
            <w:tcW w:w="2341" w:type="dxa"/>
            <w:tcBorders>
              <w:top w:val="single" w:color="auto" w:sz="6" w:space="0"/>
              <w:left w:val="single" w:color="auto" w:sz="6" w:space="0"/>
              <w:bottom w:val="nil"/>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机械（专硕）</w:t>
            </w:r>
          </w:p>
        </w:tc>
        <w:tc>
          <w:tcPr>
            <w:tcW w:w="1768" w:type="dxa"/>
            <w:tcBorders>
              <w:top w:val="single" w:color="auto" w:sz="6" w:space="0"/>
              <w:left w:val="single" w:color="auto" w:sz="6" w:space="0"/>
              <w:bottom w:val="nil"/>
              <w:right w:val="nil"/>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21</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8" w:beforeAutospacing="0" w:after="0" w:afterAutospacing="0" w:line="240" w:lineRule="atLeast"/>
        <w:ind w:left="0" w:right="0"/>
        <w:jc w:val="both"/>
        <w:textAlignment w:val="baseline"/>
        <w:rPr>
          <w:sz w:val="21"/>
          <w:szCs w:val="21"/>
        </w:rPr>
      </w:pPr>
      <w:r>
        <w:rPr>
          <w:rFonts w:hint="default" w:ascii="仿宋_GB2312" w:hAnsi="微软雅黑" w:eastAsia="仿宋_GB2312" w:cs="仿宋_GB2312"/>
          <w:b/>
          <w:bCs/>
          <w:i w:val="0"/>
          <w:iCs w:val="0"/>
          <w:caps w:val="0"/>
          <w:color w:val="3E3E3E"/>
          <w:spacing w:val="0"/>
          <w:sz w:val="21"/>
          <w:szCs w:val="21"/>
          <w:bdr w:val="none" w:color="auto" w:sz="0" w:space="0"/>
          <w:shd w:val="clear" w:fill="FFFFFF"/>
          <w:vertAlign w:val="baseline"/>
        </w:rPr>
        <w:t>注：拟招生人数不含推免生、专项计划数。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五、复试时间、内容及方式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（一）复试时间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8"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2023年4月8日，具体日程安排见如下：</w:t>
      </w:r>
    </w:p>
    <w:tbl>
      <w:tblPr>
        <w:tblW w:w="82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45"/>
        <w:gridCol w:w="4320"/>
        <w:gridCol w:w="26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87" w:hRule="atLeast"/>
          <w:jc w:val="center"/>
        </w:trPr>
        <w:tc>
          <w:tcPr>
            <w:tcW w:w="1071" w:type="dxa"/>
            <w:tcBorders>
              <w:top w:val="nil"/>
              <w:left w:val="nil"/>
              <w:bottom w:val="single" w:color="auto" w:sz="6" w:space="0"/>
              <w:right w:val="single" w:color="auto" w:sz="6" w:space="0"/>
            </w:tcBorders>
            <w:shd w:val="clear"/>
            <w:tcMar>
              <w:left w:w="9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1"/>
                <w:szCs w:val="21"/>
              </w:rPr>
            </w:pPr>
            <w:r>
              <w:rPr>
                <w:rFonts w:hint="eastAsia" w:ascii="宋体" w:hAnsi="宋体" w:eastAsia="宋体" w:cs="宋体"/>
                <w:b/>
                <w:bCs/>
                <w:color w:val="333333"/>
                <w:sz w:val="21"/>
                <w:szCs w:val="21"/>
                <w:bdr w:val="none" w:color="auto" w:sz="0" w:space="0"/>
                <w:vertAlign w:val="baseline"/>
              </w:rPr>
              <w:t>时 间</w:t>
            </w:r>
          </w:p>
        </w:tc>
        <w:tc>
          <w:tcPr>
            <w:tcW w:w="4030" w:type="dxa"/>
            <w:tcBorders>
              <w:top w:val="nil"/>
              <w:left w:val="single" w:color="auto" w:sz="6" w:space="0"/>
              <w:bottom w:val="single" w:color="auto" w:sz="6" w:space="0"/>
              <w:right w:val="single" w:color="auto" w:sz="6" w:space="0"/>
            </w:tcBorders>
            <w:shd w:val="clear"/>
            <w:tcMar>
              <w:left w:w="9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1"/>
                <w:szCs w:val="21"/>
              </w:rPr>
            </w:pPr>
            <w:r>
              <w:rPr>
                <w:rFonts w:hint="eastAsia" w:ascii="宋体" w:hAnsi="宋体" w:eastAsia="宋体" w:cs="宋体"/>
                <w:b/>
                <w:bCs/>
                <w:color w:val="333333"/>
                <w:sz w:val="21"/>
                <w:szCs w:val="21"/>
                <w:bdr w:val="none" w:color="auto" w:sz="0" w:space="0"/>
                <w:vertAlign w:val="baseline"/>
              </w:rPr>
              <w:t>主要内容</w:t>
            </w:r>
          </w:p>
        </w:tc>
        <w:tc>
          <w:tcPr>
            <w:tcW w:w="2514" w:type="dxa"/>
            <w:tcBorders>
              <w:top w:val="nil"/>
              <w:left w:val="single" w:color="auto" w:sz="6" w:space="0"/>
              <w:bottom w:val="single" w:color="auto" w:sz="6" w:space="0"/>
              <w:right w:val="nil"/>
            </w:tcBorders>
            <w:shd w:val="clear"/>
            <w:tcMar>
              <w:left w:w="9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1"/>
                <w:szCs w:val="21"/>
              </w:rPr>
            </w:pPr>
            <w:r>
              <w:rPr>
                <w:rFonts w:hint="eastAsia" w:ascii="宋体" w:hAnsi="宋体" w:eastAsia="宋体" w:cs="宋体"/>
                <w:b/>
                <w:bCs/>
                <w:color w:val="333333"/>
                <w:sz w:val="21"/>
                <w:szCs w:val="21"/>
                <w:bdr w:val="none" w:color="auto" w:sz="0" w:space="0"/>
                <w:vertAlign w:val="baseline"/>
              </w:rPr>
              <w:t>注意事项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78" w:hRule="atLeast"/>
          <w:jc w:val="center"/>
        </w:trPr>
        <w:tc>
          <w:tcPr>
            <w:tcW w:w="1071" w:type="dxa"/>
            <w:tcBorders>
              <w:top w:val="nil"/>
              <w:left w:val="nil"/>
              <w:bottom w:val="single" w:color="auto" w:sz="6" w:space="0"/>
              <w:right w:val="single" w:color="auto" w:sz="6" w:space="0"/>
            </w:tcBorders>
            <w:shd w:val="clear"/>
            <w:tcMar>
              <w:left w:w="9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1"/>
                <w:szCs w:val="21"/>
              </w:rPr>
            </w:pPr>
            <w:r>
              <w:rPr>
                <w:rFonts w:hint="default" w:ascii="Times New Roman" w:hAnsi="Times New Roman" w:eastAsia="微软雅黑" w:cs="Times New Roman"/>
                <w:color w:val="333333"/>
                <w:sz w:val="21"/>
                <w:szCs w:val="21"/>
                <w:bdr w:val="none" w:color="auto" w:sz="0" w:space="0"/>
                <w:vertAlign w:val="baseline"/>
              </w:rPr>
              <w:t>4</w:t>
            </w:r>
            <w:r>
              <w:rPr>
                <w:rFonts w:hint="eastAsia" w:ascii="宋体" w:hAnsi="宋体" w:eastAsia="宋体" w:cs="宋体"/>
                <w:color w:val="333333"/>
                <w:sz w:val="21"/>
                <w:szCs w:val="21"/>
                <w:bdr w:val="none" w:color="auto" w:sz="0" w:space="0"/>
                <w:vertAlign w:val="baseline"/>
              </w:rPr>
              <w:t>月</w:t>
            </w:r>
            <w:r>
              <w:rPr>
                <w:rFonts w:hint="default" w:ascii="Times New Roman" w:hAnsi="Times New Roman" w:eastAsia="微软雅黑" w:cs="Times New Roman"/>
                <w:color w:val="333333"/>
                <w:sz w:val="21"/>
                <w:szCs w:val="21"/>
                <w:bdr w:val="none" w:color="auto" w:sz="0" w:space="0"/>
                <w:vertAlign w:val="baseline"/>
              </w:rPr>
              <w:t>7</w:t>
            </w:r>
            <w:r>
              <w:rPr>
                <w:rFonts w:hint="eastAsia" w:ascii="宋体" w:hAnsi="宋体" w:eastAsia="宋体" w:cs="宋体"/>
                <w:color w:val="333333"/>
                <w:sz w:val="21"/>
                <w:szCs w:val="21"/>
                <w:bdr w:val="none" w:color="auto" w:sz="0" w:space="0"/>
                <w:vertAlign w:val="baseline"/>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1"/>
                <w:szCs w:val="21"/>
              </w:rPr>
            </w:pPr>
            <w:r>
              <w:rPr>
                <w:rFonts w:hint="default" w:ascii="Times New Roman" w:hAnsi="Times New Roman" w:eastAsia="微软雅黑" w:cs="Times New Roman"/>
                <w:color w:val="333333"/>
                <w:sz w:val="21"/>
                <w:szCs w:val="21"/>
                <w:bdr w:val="none" w:color="auto" w:sz="0" w:space="0"/>
                <w:vertAlign w:val="baseline"/>
              </w:rPr>
              <w:t>14:00</w:t>
            </w:r>
            <w:r>
              <w:rPr>
                <w:rFonts w:hint="eastAsia" w:ascii="宋体" w:hAnsi="宋体" w:eastAsia="宋体" w:cs="宋体"/>
                <w:color w:val="333333"/>
                <w:sz w:val="21"/>
                <w:szCs w:val="21"/>
                <w:bdr w:val="none" w:color="auto" w:sz="0" w:space="0"/>
                <w:vertAlign w:val="baseline"/>
              </w:rPr>
              <w:t>前</w:t>
            </w:r>
          </w:p>
        </w:tc>
        <w:tc>
          <w:tcPr>
            <w:tcW w:w="4030" w:type="dxa"/>
            <w:tcBorders>
              <w:top w:val="nil"/>
              <w:left w:val="single" w:color="auto" w:sz="6" w:space="0"/>
              <w:bottom w:val="single" w:color="auto" w:sz="6" w:space="0"/>
              <w:right w:val="single" w:color="auto" w:sz="6" w:space="0"/>
            </w:tcBorders>
            <w:shd w:val="clear"/>
            <w:tcMar>
              <w:left w:w="9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1"/>
                <w:szCs w:val="21"/>
              </w:rPr>
            </w:pPr>
            <w:r>
              <w:rPr>
                <w:rFonts w:hint="default" w:ascii="Times New Roman" w:hAnsi="Times New Roman" w:eastAsia="微软雅黑" w:cs="Times New Roman"/>
                <w:color w:val="333333"/>
                <w:sz w:val="21"/>
                <w:szCs w:val="21"/>
                <w:bdr w:val="none" w:color="auto" w:sz="0" w:space="0"/>
                <w:vertAlign w:val="baseline"/>
              </w:rPr>
              <w:t>(1)</w:t>
            </w:r>
            <w:r>
              <w:rPr>
                <w:rFonts w:hint="eastAsia" w:ascii="宋体" w:hAnsi="宋体" w:eastAsia="宋体" w:cs="宋体"/>
                <w:color w:val="333333"/>
                <w:sz w:val="21"/>
                <w:szCs w:val="21"/>
                <w:bdr w:val="none" w:color="auto" w:sz="0" w:space="0"/>
                <w:vertAlign w:val="baseline"/>
              </w:rPr>
              <w:t>进入各复试小组</w:t>
            </w:r>
            <w:r>
              <w:rPr>
                <w:rFonts w:hint="default" w:ascii="Times New Roman" w:hAnsi="Times New Roman" w:eastAsia="微软雅黑" w:cs="Times New Roman"/>
                <w:color w:val="333333"/>
                <w:sz w:val="21"/>
                <w:szCs w:val="21"/>
                <w:bdr w:val="none" w:color="auto" w:sz="0" w:space="0"/>
                <w:vertAlign w:val="baseline"/>
              </w:rPr>
              <w:t>QQ</w:t>
            </w:r>
            <w:r>
              <w:rPr>
                <w:rFonts w:hint="eastAsia" w:ascii="宋体" w:hAnsi="宋体" w:eastAsia="宋体" w:cs="宋体"/>
                <w:color w:val="333333"/>
                <w:sz w:val="21"/>
                <w:szCs w:val="21"/>
                <w:bdr w:val="none" w:color="auto" w:sz="0" w:space="0"/>
                <w:vertAlign w:val="baseline"/>
              </w:rPr>
              <w:t>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1"/>
                <w:szCs w:val="21"/>
              </w:rPr>
            </w:pPr>
            <w:r>
              <w:rPr>
                <w:rFonts w:hint="default" w:ascii="Times New Roman" w:hAnsi="Times New Roman" w:eastAsia="微软雅黑" w:cs="Times New Roman"/>
                <w:color w:val="333333"/>
                <w:sz w:val="21"/>
                <w:szCs w:val="21"/>
                <w:bdr w:val="none" w:color="auto" w:sz="0" w:space="0"/>
                <w:vertAlign w:val="baseline"/>
              </w:rPr>
              <w:t>(2)</w:t>
            </w:r>
            <w:r>
              <w:rPr>
                <w:rFonts w:hint="eastAsia" w:ascii="宋体" w:hAnsi="宋体" w:eastAsia="宋体" w:cs="宋体"/>
                <w:color w:val="333333"/>
                <w:sz w:val="21"/>
                <w:szCs w:val="21"/>
                <w:bdr w:val="none" w:color="auto" w:sz="0" w:space="0"/>
                <w:vertAlign w:val="baseline"/>
              </w:rPr>
              <w:t>资格审查材料提交完毕。</w:t>
            </w:r>
          </w:p>
        </w:tc>
        <w:tc>
          <w:tcPr>
            <w:tcW w:w="2514" w:type="dxa"/>
            <w:tcBorders>
              <w:top w:val="nil"/>
              <w:left w:val="single" w:color="auto" w:sz="6" w:space="0"/>
              <w:bottom w:val="single" w:color="auto" w:sz="6" w:space="0"/>
              <w:right w:val="nil"/>
            </w:tcBorders>
            <w:shd w:val="clear"/>
            <w:tcMar>
              <w:left w:w="9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sz w:val="21"/>
                <w:szCs w:val="21"/>
              </w:rPr>
            </w:pPr>
            <w:r>
              <w:rPr>
                <w:rFonts w:hint="eastAsia" w:ascii="宋体" w:hAnsi="宋体" w:eastAsia="宋体" w:cs="宋体"/>
                <w:color w:val="333333"/>
                <w:sz w:val="21"/>
                <w:szCs w:val="21"/>
                <w:bdr w:val="none" w:color="auto" w:sz="0" w:space="0"/>
                <w:vertAlign w:val="baseline"/>
              </w:rPr>
              <w:t>考生务必保持手机和</w:t>
            </w:r>
            <w:r>
              <w:rPr>
                <w:rFonts w:hint="default" w:ascii="Times New Roman" w:hAnsi="Times New Roman" w:eastAsia="微软雅黑" w:cs="Times New Roman"/>
                <w:color w:val="333333"/>
                <w:sz w:val="21"/>
                <w:szCs w:val="21"/>
                <w:bdr w:val="none" w:color="auto" w:sz="0" w:space="0"/>
                <w:vertAlign w:val="baseline"/>
              </w:rPr>
              <w:t>QQ</w:t>
            </w:r>
            <w:r>
              <w:rPr>
                <w:rFonts w:hint="eastAsia" w:ascii="宋体" w:hAnsi="宋体" w:eastAsia="宋体" w:cs="宋体"/>
                <w:color w:val="333333"/>
                <w:sz w:val="21"/>
                <w:szCs w:val="21"/>
                <w:bdr w:val="none" w:color="auto" w:sz="0" w:space="0"/>
                <w:vertAlign w:val="baseline"/>
              </w:rPr>
              <w:t>畅通。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36" w:hRule="atLeast"/>
          <w:jc w:val="center"/>
        </w:trPr>
        <w:tc>
          <w:tcPr>
            <w:tcW w:w="1071" w:type="dxa"/>
            <w:tcBorders>
              <w:top w:val="nil"/>
              <w:left w:val="nil"/>
              <w:bottom w:val="single" w:color="auto" w:sz="6" w:space="0"/>
              <w:right w:val="single" w:color="auto" w:sz="6" w:space="0"/>
            </w:tcBorders>
            <w:shd w:val="clear"/>
            <w:tcMar>
              <w:left w:w="9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1"/>
                <w:szCs w:val="21"/>
              </w:rPr>
            </w:pPr>
            <w:r>
              <w:rPr>
                <w:rFonts w:hint="default" w:ascii="Times New Roman" w:hAnsi="Times New Roman" w:eastAsia="微软雅黑" w:cs="Times New Roman"/>
                <w:color w:val="333333"/>
                <w:sz w:val="21"/>
                <w:szCs w:val="21"/>
                <w:bdr w:val="none" w:color="auto" w:sz="0" w:space="0"/>
                <w:vertAlign w:val="baseline"/>
              </w:rPr>
              <w:t>4</w:t>
            </w:r>
            <w:r>
              <w:rPr>
                <w:rFonts w:hint="eastAsia" w:ascii="宋体" w:hAnsi="宋体" w:eastAsia="宋体" w:cs="宋体"/>
                <w:color w:val="333333"/>
                <w:sz w:val="21"/>
                <w:szCs w:val="21"/>
                <w:bdr w:val="none" w:color="auto" w:sz="0" w:space="0"/>
                <w:vertAlign w:val="baseline"/>
              </w:rPr>
              <w:t>月</w:t>
            </w:r>
            <w:r>
              <w:rPr>
                <w:rFonts w:hint="default" w:ascii="Times New Roman" w:hAnsi="Times New Roman" w:eastAsia="微软雅黑" w:cs="Times New Roman"/>
                <w:color w:val="333333"/>
                <w:sz w:val="21"/>
                <w:szCs w:val="21"/>
                <w:bdr w:val="none" w:color="auto" w:sz="0" w:space="0"/>
                <w:vertAlign w:val="baseline"/>
              </w:rPr>
              <w:t>7</w:t>
            </w:r>
            <w:r>
              <w:rPr>
                <w:rFonts w:hint="eastAsia" w:ascii="宋体" w:hAnsi="宋体" w:eastAsia="宋体" w:cs="宋体"/>
                <w:color w:val="333333"/>
                <w:sz w:val="21"/>
                <w:szCs w:val="21"/>
                <w:bdr w:val="none" w:color="auto" w:sz="0" w:space="0"/>
                <w:vertAlign w:val="baseline"/>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1"/>
                <w:szCs w:val="21"/>
              </w:rPr>
            </w:pPr>
            <w:r>
              <w:rPr>
                <w:rFonts w:hint="default" w:ascii="Times New Roman" w:hAnsi="Times New Roman" w:eastAsia="微软雅黑" w:cs="Times New Roman"/>
                <w:color w:val="333333"/>
                <w:sz w:val="21"/>
                <w:szCs w:val="21"/>
                <w:bdr w:val="none" w:color="auto" w:sz="0" w:space="0"/>
                <w:vertAlign w:val="baseline"/>
              </w:rPr>
              <w:t>14:00</w:t>
            </w:r>
            <w:r>
              <w:rPr>
                <w:rFonts w:hint="eastAsia" w:ascii="宋体" w:hAnsi="宋体" w:eastAsia="宋体" w:cs="宋体"/>
                <w:color w:val="333333"/>
                <w:sz w:val="21"/>
                <w:szCs w:val="21"/>
                <w:bdr w:val="none" w:color="auto" w:sz="0" w:space="0"/>
                <w:vertAlign w:val="baseline"/>
              </w:rPr>
              <w:t>后</w:t>
            </w:r>
          </w:p>
        </w:tc>
        <w:tc>
          <w:tcPr>
            <w:tcW w:w="4030" w:type="dxa"/>
            <w:tcBorders>
              <w:top w:val="nil"/>
              <w:left w:val="single" w:color="auto" w:sz="6" w:space="0"/>
              <w:bottom w:val="single" w:color="auto" w:sz="6" w:space="0"/>
              <w:right w:val="single" w:color="auto" w:sz="6" w:space="0"/>
            </w:tcBorders>
            <w:shd w:val="clear"/>
            <w:tcMar>
              <w:left w:w="9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1"/>
                <w:szCs w:val="21"/>
              </w:rPr>
            </w:pPr>
            <w:r>
              <w:rPr>
                <w:rFonts w:hint="eastAsia" w:ascii="宋体" w:hAnsi="宋体" w:eastAsia="宋体" w:cs="宋体"/>
                <w:color w:val="333333"/>
                <w:sz w:val="21"/>
                <w:szCs w:val="21"/>
                <w:bdr w:val="none" w:color="auto" w:sz="0" w:space="0"/>
                <w:vertAlign w:val="baseline"/>
              </w:rPr>
              <w:t>完成网络平台测试。由各小组秘书自行安排。</w:t>
            </w:r>
          </w:p>
        </w:tc>
        <w:tc>
          <w:tcPr>
            <w:tcW w:w="2514" w:type="dxa"/>
            <w:tcBorders>
              <w:top w:val="nil"/>
              <w:left w:val="single" w:color="auto" w:sz="6" w:space="0"/>
              <w:bottom w:val="single" w:color="auto" w:sz="6" w:space="0"/>
              <w:right w:val="nil"/>
            </w:tcBorders>
            <w:shd w:val="clear"/>
            <w:tcMar>
              <w:left w:w="98" w:type="dxa"/>
              <w:right w:w="98" w:type="dxa"/>
            </w:tcMar>
            <w:vAlign w:val="center"/>
          </w:tcPr>
          <w:p>
            <w:pPr>
              <w:rPr>
                <w:rFonts w:hint="eastAsia" w:ascii="微软雅黑" w:hAnsi="微软雅黑" w:eastAsia="微软雅黑" w:cs="微软雅黑"/>
                <w:color w:val="333333"/>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76" w:hRule="atLeast"/>
          <w:jc w:val="center"/>
        </w:trPr>
        <w:tc>
          <w:tcPr>
            <w:tcW w:w="1071" w:type="dxa"/>
            <w:tcBorders>
              <w:top w:val="nil"/>
              <w:left w:val="nil"/>
              <w:bottom w:val="nil"/>
              <w:right w:val="single" w:color="auto" w:sz="6" w:space="0"/>
            </w:tcBorders>
            <w:shd w:val="clear"/>
            <w:tcMar>
              <w:left w:w="9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1"/>
                <w:szCs w:val="21"/>
              </w:rPr>
            </w:pPr>
            <w:r>
              <w:rPr>
                <w:rFonts w:hint="default" w:ascii="Times New Roman" w:hAnsi="Times New Roman" w:eastAsia="微软雅黑" w:cs="Times New Roman"/>
                <w:color w:val="333333"/>
                <w:sz w:val="21"/>
                <w:szCs w:val="21"/>
                <w:bdr w:val="none" w:color="auto" w:sz="0" w:space="0"/>
                <w:vertAlign w:val="baseline"/>
              </w:rPr>
              <w:t>4</w:t>
            </w:r>
            <w:r>
              <w:rPr>
                <w:rFonts w:hint="eastAsia" w:ascii="宋体" w:hAnsi="宋体" w:eastAsia="宋体" w:cs="宋体"/>
                <w:color w:val="333333"/>
                <w:sz w:val="21"/>
                <w:szCs w:val="21"/>
                <w:bdr w:val="none" w:color="auto" w:sz="0" w:space="0"/>
                <w:vertAlign w:val="baseline"/>
              </w:rPr>
              <w:t>月</w:t>
            </w:r>
            <w:r>
              <w:rPr>
                <w:rFonts w:hint="default" w:ascii="Times New Roman" w:hAnsi="Times New Roman" w:eastAsia="微软雅黑" w:cs="Times New Roman"/>
                <w:color w:val="333333"/>
                <w:sz w:val="21"/>
                <w:szCs w:val="21"/>
                <w:bdr w:val="none" w:color="auto" w:sz="0" w:space="0"/>
                <w:vertAlign w:val="baseline"/>
              </w:rPr>
              <w:t>8</w:t>
            </w:r>
            <w:r>
              <w:rPr>
                <w:rFonts w:hint="eastAsia" w:ascii="宋体" w:hAnsi="宋体" w:eastAsia="宋体" w:cs="宋体"/>
                <w:color w:val="333333"/>
                <w:sz w:val="21"/>
                <w:szCs w:val="21"/>
                <w:bdr w:val="none" w:color="auto" w:sz="0" w:space="0"/>
                <w:vertAlign w:val="baseline"/>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1"/>
                <w:szCs w:val="21"/>
              </w:rPr>
            </w:pPr>
            <w:r>
              <w:rPr>
                <w:rFonts w:hint="default" w:ascii="Times New Roman" w:hAnsi="Times New Roman" w:eastAsia="微软雅黑" w:cs="Times New Roman"/>
                <w:color w:val="333333"/>
                <w:sz w:val="21"/>
                <w:szCs w:val="21"/>
                <w:bdr w:val="none" w:color="auto" w:sz="0" w:space="0"/>
                <w:vertAlign w:val="baseline"/>
              </w:rPr>
              <w:t>7:30~18:00</w:t>
            </w:r>
          </w:p>
        </w:tc>
        <w:tc>
          <w:tcPr>
            <w:tcW w:w="4030" w:type="dxa"/>
            <w:tcBorders>
              <w:top w:val="nil"/>
              <w:left w:val="single" w:color="auto" w:sz="6" w:space="0"/>
              <w:bottom w:val="nil"/>
              <w:right w:val="single" w:color="auto" w:sz="6" w:space="0"/>
            </w:tcBorders>
            <w:shd w:val="clear"/>
            <w:tcMar>
              <w:left w:w="9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1"/>
                <w:szCs w:val="21"/>
              </w:rPr>
            </w:pPr>
            <w:r>
              <w:rPr>
                <w:rFonts w:hint="default" w:ascii="Times New Roman" w:hAnsi="Times New Roman" w:eastAsia="微软雅黑" w:cs="Times New Roman"/>
                <w:color w:val="333333"/>
                <w:sz w:val="21"/>
                <w:szCs w:val="21"/>
                <w:bdr w:val="none" w:color="auto" w:sz="0" w:space="0"/>
                <w:vertAlign w:val="baseline"/>
              </w:rPr>
              <w:t>(1)</w:t>
            </w:r>
            <w:r>
              <w:rPr>
                <w:rFonts w:hint="eastAsia" w:ascii="宋体" w:hAnsi="宋体" w:eastAsia="宋体" w:cs="宋体"/>
                <w:color w:val="333333"/>
                <w:sz w:val="21"/>
                <w:szCs w:val="21"/>
                <w:bdr w:val="none" w:color="auto" w:sz="0" w:space="0"/>
                <w:vertAlign w:val="baseline"/>
              </w:rPr>
              <w:t>综合素质和能力考核（</w:t>
            </w:r>
            <w:r>
              <w:rPr>
                <w:rFonts w:hint="default" w:ascii="Times New Roman" w:hAnsi="Times New Roman" w:eastAsia="微软雅黑" w:cs="Times New Roman"/>
                <w:color w:val="333333"/>
                <w:sz w:val="21"/>
                <w:szCs w:val="21"/>
                <w:bdr w:val="none" w:color="auto" w:sz="0" w:space="0"/>
                <w:vertAlign w:val="baseline"/>
              </w:rPr>
              <w:t>8:00-10:00</w:t>
            </w:r>
            <w:r>
              <w:rPr>
                <w:rFonts w:hint="eastAsia" w:ascii="宋体" w:hAnsi="宋体" w:eastAsia="宋体" w:cs="宋体"/>
                <w:color w:val="333333"/>
                <w:sz w:val="21"/>
                <w:szCs w:val="21"/>
                <w:bdr w:val="none" w:color="auto" w:sz="0" w:space="0"/>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1"/>
                <w:szCs w:val="21"/>
              </w:rPr>
            </w:pPr>
            <w:r>
              <w:rPr>
                <w:rFonts w:hint="default" w:ascii="Times New Roman" w:hAnsi="Times New Roman" w:eastAsia="微软雅黑" w:cs="Times New Roman"/>
                <w:color w:val="333333"/>
                <w:sz w:val="21"/>
                <w:szCs w:val="21"/>
                <w:bdr w:val="none" w:color="auto" w:sz="0" w:space="0"/>
                <w:vertAlign w:val="baseline"/>
              </w:rPr>
              <w:t>(2)</w:t>
            </w:r>
            <w:r>
              <w:rPr>
                <w:rFonts w:hint="eastAsia" w:ascii="宋体" w:hAnsi="宋体" w:eastAsia="宋体" w:cs="宋体"/>
                <w:color w:val="333333"/>
                <w:sz w:val="21"/>
                <w:szCs w:val="21"/>
                <w:bdr w:val="none" w:color="auto" w:sz="0" w:space="0"/>
                <w:vertAlign w:val="baseline"/>
              </w:rPr>
              <w:t>专业素质和能力考核（</w:t>
            </w:r>
            <w:r>
              <w:rPr>
                <w:rFonts w:hint="default" w:ascii="Times New Roman" w:hAnsi="Times New Roman" w:eastAsia="微软雅黑" w:cs="Times New Roman"/>
                <w:color w:val="333333"/>
                <w:sz w:val="21"/>
                <w:szCs w:val="21"/>
                <w:bdr w:val="none" w:color="auto" w:sz="0" w:space="0"/>
                <w:vertAlign w:val="baseline"/>
              </w:rPr>
              <w:t>10:00-18:00</w:t>
            </w:r>
            <w:r>
              <w:rPr>
                <w:rFonts w:hint="eastAsia" w:ascii="宋体" w:hAnsi="宋体" w:eastAsia="宋体" w:cs="宋体"/>
                <w:color w:val="333333"/>
                <w:sz w:val="21"/>
                <w:szCs w:val="21"/>
                <w:bdr w:val="none" w:color="auto" w:sz="0" w:space="0"/>
                <w:vertAlign w:val="baseline"/>
              </w:rPr>
              <w:t>）。</w:t>
            </w:r>
          </w:p>
        </w:tc>
        <w:tc>
          <w:tcPr>
            <w:tcW w:w="2514" w:type="dxa"/>
            <w:tcBorders>
              <w:top w:val="nil"/>
              <w:left w:val="single" w:color="auto" w:sz="6" w:space="0"/>
              <w:bottom w:val="nil"/>
              <w:right w:val="nil"/>
            </w:tcBorders>
            <w:shd w:val="clear"/>
            <w:tcMar>
              <w:left w:w="9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sz w:val="21"/>
                <w:szCs w:val="21"/>
              </w:rPr>
            </w:pPr>
            <w:r>
              <w:rPr>
                <w:rFonts w:hint="eastAsia" w:ascii="宋体" w:hAnsi="宋体" w:eastAsia="宋体" w:cs="宋体"/>
                <w:color w:val="FF0000"/>
                <w:sz w:val="21"/>
                <w:szCs w:val="21"/>
                <w:bdr w:val="none" w:color="auto" w:sz="0" w:space="0"/>
                <w:vertAlign w:val="baseline"/>
              </w:rPr>
              <w:t>实现“双机位”时，不要使用微信直接加入腾讯会议</w:t>
            </w:r>
            <w:r>
              <w:rPr>
                <w:rFonts w:hint="default" w:ascii="Times New Roman" w:hAnsi="Times New Roman" w:eastAsia="微软雅黑" w:cs="Times New Roman"/>
                <w:color w:val="FF0000"/>
                <w:sz w:val="21"/>
                <w:szCs w:val="21"/>
                <w:bdr w:val="none" w:color="auto" w:sz="0" w:space="0"/>
                <w:vertAlign w:val="baseline"/>
              </w:rPr>
              <w:t>APP</w:t>
            </w:r>
            <w:r>
              <w:rPr>
                <w:rFonts w:hint="eastAsia" w:ascii="宋体" w:hAnsi="宋体" w:eastAsia="宋体" w:cs="宋体"/>
                <w:color w:val="FF0000"/>
                <w:sz w:val="21"/>
                <w:szCs w:val="21"/>
                <w:bdr w:val="none" w:color="auto" w:sz="0" w:space="0"/>
                <w:vertAlign w:val="baseline"/>
              </w:rPr>
              <w:t>。</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（二）复试内容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复试内容包括专业素质和能力考核</w:t>
      </w: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（含2023年硕士研究生考试招生专业目录中要求的复试笔试科目相关知识）</w:t>
      </w: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、综合素质和能力考核两部分组成。其中，综合素质和能力考核成绩不计入复试成绩。复试成绩总分为100分，60分及以上的为合格。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1、专业素质和能力考核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重点考核考生业务素质、科研工作能力和外语能力等，满分为100分，其中：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(1) 专业基础及专业知识占50分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考核重点：①基础理论；②专业知识；③对学科发展前沿了解情况；④计算机应用能力；⑤本科学习成绩。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(2) 综合能力占40分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考核重点：①逻辑思维能力；②分析问题、解决问题能力，以及从中表现出的科研能力、创新精神和创新能力；③敬业精神、钻研精神、团结协作精神。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(3) 外语听说能力测试占10分。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2、综合素质和能力考核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综合素质和能力考核满分100分，60分及以上为合格，成绩不计入复试总成绩。综合素质和能力考核不合格的考生不能列入拟录取名单。综合素质和能力考核具体内容包括：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（1）思想政治素质和道德品质等；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（2）本学科（专业）以外的学习、科研、社会实践（学生工作、社团活动、志愿服务等）或实际工作表现等方面的情况；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（3）事业心、责任感、纪律性（遵纪守法）、协作性和心理健康情况；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（4）人文素养；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（5）举止、表达和礼仪等。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（三）成绩核算及录取原则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网络复试成绩总分为100分，专业素质和能力考核成绩在60分及以上、综合素质和能力考核在60分及以上的，为复试合格。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复试合格考生将初试总成绩除以5乘以0.7，将复试成绩乘以0.3，相加后为考生总成绩。录取时按考生总成绩排序，依次录取。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计算公式：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考生总成绩=（初试成绩总分</w:t>
      </w:r>
      <w:r>
        <w:rPr>
          <w:rFonts w:hint="eastAsia" w:ascii="宋体" w:hAnsi="宋体" w:eastAsia="宋体" w:cs="宋体"/>
          <w:i w:val="0"/>
          <w:iCs w:val="0"/>
          <w:caps w:val="0"/>
          <w:color w:val="3E3E3E"/>
          <w:spacing w:val="0"/>
          <w:sz w:val="28"/>
          <w:szCs w:val="28"/>
          <w:bdr w:val="none" w:color="auto" w:sz="0" w:space="0"/>
          <w:shd w:val="clear" w:fill="FFFFFF"/>
          <w:vertAlign w:val="baseline"/>
        </w:rPr>
        <w:t>÷</w:t>
      </w: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5）</w:t>
      </w:r>
      <w:r>
        <w:rPr>
          <w:rFonts w:hint="eastAsia" w:ascii="宋体" w:hAnsi="宋体" w:eastAsia="宋体" w:cs="宋体"/>
          <w:i w:val="0"/>
          <w:iCs w:val="0"/>
          <w:caps w:val="0"/>
          <w:color w:val="3E3E3E"/>
          <w:spacing w:val="0"/>
          <w:sz w:val="28"/>
          <w:szCs w:val="28"/>
          <w:bdr w:val="none" w:color="auto" w:sz="0" w:space="0"/>
          <w:shd w:val="clear" w:fill="FFFFFF"/>
          <w:vertAlign w:val="baseline"/>
        </w:rPr>
        <w:t>×</w:t>
      </w: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0.7+复试成绩总分</w:t>
      </w:r>
      <w:r>
        <w:rPr>
          <w:rFonts w:hint="eastAsia" w:ascii="宋体" w:hAnsi="宋体" w:eastAsia="宋体" w:cs="宋体"/>
          <w:i w:val="0"/>
          <w:iCs w:val="0"/>
          <w:caps w:val="0"/>
          <w:color w:val="3E3E3E"/>
          <w:spacing w:val="0"/>
          <w:sz w:val="28"/>
          <w:szCs w:val="28"/>
          <w:bdr w:val="none" w:color="auto" w:sz="0" w:space="0"/>
          <w:shd w:val="clear" w:fill="FFFFFF"/>
          <w:vertAlign w:val="baseline"/>
        </w:rPr>
        <w:t>×</w:t>
      </w: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0.3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复试不合格的考生，不列入拟录取名单。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六、加试和体检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FF0000"/>
          <w:spacing w:val="0"/>
          <w:sz w:val="28"/>
          <w:szCs w:val="28"/>
          <w:bdr w:val="none" w:color="auto" w:sz="0" w:space="0"/>
          <w:shd w:val="clear" w:fill="FFFFFF"/>
          <w:vertAlign w:val="baseline"/>
        </w:rPr>
        <w:t>同等学力考生除参加统一复试外</w:t>
      </w: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还须加试两门本专业主干课。考核形式采取网络远程考核方式进行，具体加试时间另行通知。单科满分为100分。其中任意一科加试成绩低于60分的，为加试不合格，不予录取。具体加试内容请参考“机电工程学院2023年硕士研究生考试招生专业目录</w:t>
      </w:r>
      <w:r>
        <w:rPr>
          <w:rFonts w:hint="eastAsia" w:ascii="宋体" w:hAnsi="宋体" w:eastAsia="宋体" w:cs="宋体"/>
          <w:i w:val="0"/>
          <w:iCs w:val="0"/>
          <w:caps w:val="0"/>
          <w:color w:val="3E3E3E"/>
          <w:spacing w:val="0"/>
          <w:sz w:val="28"/>
          <w:szCs w:val="28"/>
          <w:bdr w:val="none" w:color="auto" w:sz="0" w:space="0"/>
          <w:shd w:val="clear" w:fill="FFFFFF"/>
          <w:vertAlign w:val="baseline"/>
        </w:rPr>
        <w:t>”</w:t>
      </w: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，网址链接：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630"/>
        <w:jc w:val="both"/>
        <w:textAlignment w:val="baseline"/>
      </w:pPr>
      <w:r>
        <w:rPr>
          <w:rFonts w:hint="eastAsia" w:ascii="微软雅黑" w:hAnsi="微软雅黑" w:eastAsia="微软雅黑" w:cs="微软雅黑"/>
          <w:i w:val="0"/>
          <w:iCs w:val="0"/>
          <w:caps w:val="0"/>
          <w:spacing w:val="0"/>
          <w:sz w:val="14"/>
          <w:szCs w:val="14"/>
          <w:u w:val="none"/>
          <w:bdr w:val="none" w:color="auto" w:sz="0" w:space="0"/>
          <w:shd w:val="clear" w:fill="FFFFFF"/>
          <w:vertAlign w:val="baseline"/>
        </w:rPr>
        <w:fldChar w:fldCharType="begin"/>
      </w:r>
      <w:r>
        <w:rPr>
          <w:rFonts w:hint="eastAsia" w:ascii="微软雅黑" w:hAnsi="微软雅黑" w:eastAsia="微软雅黑" w:cs="微软雅黑"/>
          <w:i w:val="0"/>
          <w:iCs w:val="0"/>
          <w:caps w:val="0"/>
          <w:spacing w:val="0"/>
          <w:sz w:val="14"/>
          <w:szCs w:val="14"/>
          <w:u w:val="none"/>
          <w:bdr w:val="none" w:color="auto" w:sz="0" w:space="0"/>
          <w:shd w:val="clear" w:fill="FFFFFF"/>
          <w:vertAlign w:val="baseline"/>
        </w:rPr>
        <w:instrText xml:space="preserve"> HYPERLINK "https://yzb.cust.edu.cn/images/2022-09/14e471ee241747b9aadc11c032c12cc3.png" </w:instrText>
      </w:r>
      <w:r>
        <w:rPr>
          <w:rFonts w:hint="eastAsia" w:ascii="微软雅黑" w:hAnsi="微软雅黑" w:eastAsia="微软雅黑" w:cs="微软雅黑"/>
          <w:i w:val="0"/>
          <w:iCs w:val="0"/>
          <w:caps w:val="0"/>
          <w:spacing w:val="0"/>
          <w:sz w:val="14"/>
          <w:szCs w:val="14"/>
          <w:u w:val="none"/>
          <w:bdr w:val="none" w:color="auto" w:sz="0" w:space="0"/>
          <w:shd w:val="clear" w:fill="FFFFFF"/>
          <w:vertAlign w:val="baseline"/>
        </w:rPr>
        <w:fldChar w:fldCharType="separate"/>
      </w:r>
      <w:r>
        <w:rPr>
          <w:rStyle w:val="6"/>
          <w:rFonts w:hint="default" w:ascii="Times New Roman" w:hAnsi="Times New Roman" w:eastAsia="微软雅黑" w:cs="Times New Roman"/>
          <w:i w:val="0"/>
          <w:iCs w:val="0"/>
          <w:caps w:val="0"/>
          <w:color w:val="0563C1"/>
          <w:spacing w:val="0"/>
          <w:sz w:val="21"/>
          <w:szCs w:val="21"/>
          <w:u w:val="single"/>
          <w:bdr w:val="none" w:color="auto" w:sz="0" w:space="0"/>
          <w:shd w:val="clear" w:fill="FFFFFF"/>
          <w:vertAlign w:val="baseline"/>
        </w:rPr>
        <w:t>https://yzb.cust.edu.cn/images/2022-09/14e471ee241747b9aadc11c032c12cc3.png</w:t>
      </w:r>
      <w:r>
        <w:rPr>
          <w:rFonts w:hint="eastAsia" w:ascii="微软雅黑" w:hAnsi="微软雅黑" w:eastAsia="微软雅黑" w:cs="微软雅黑"/>
          <w:i w:val="0"/>
          <w:iCs w:val="0"/>
          <w:caps w:val="0"/>
          <w:spacing w:val="0"/>
          <w:sz w:val="14"/>
          <w:szCs w:val="14"/>
          <w:u w:val="none"/>
          <w:bdr w:val="none" w:color="auto" w:sz="0" w:space="0"/>
          <w:shd w:val="clear" w:fill="FFFFFF"/>
          <w:vertAlign w:val="baseline"/>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体检要求按国家相关文件执行。考生报到入学时体检，复试期间不体检。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七、复试考生提交材料说明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（一）需提交的电子版文件内容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相关材料仅需提供电子版（PDF格式）。所有材料纸质版待报到入学时提交。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1、学生证（应届生提交）、毕业证（往届生提交）、学位证（已获得学位证书的考生提交）复印件。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2、本科成绩单（专升本考生需专科和本科成绩单），应届生由就读学校教务部门盖章，往届生由档案部门复印原件并在复印件上盖章证明与原件一致（往届生可提供原教务处带红章电子版）。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3、长春理工大学报考硕士研究生现实表现情况调查表(见附件1)。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4、其它获奖及证明材料。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5、退役大学生士兵专项计划进入复试的考生，需提供《入伍批准书》和《退出现役证》。电子版需在复试前发送至研招办邮箱：</w:t>
      </w:r>
      <w:r>
        <w:rPr>
          <w:rFonts w:hint="default" w:ascii="Times New Roman" w:hAnsi="Times New Roman" w:eastAsia="微软雅黑" w:cs="Times New Roman"/>
          <w:i w:val="0"/>
          <w:iCs w:val="0"/>
          <w:caps w:val="0"/>
          <w:color w:val="3E3E3E"/>
          <w:spacing w:val="0"/>
          <w:sz w:val="28"/>
          <w:szCs w:val="28"/>
          <w:bdr w:val="none" w:color="auto" w:sz="0" w:space="0"/>
          <w:shd w:val="clear" w:fill="FFFFFF"/>
          <w:vertAlign w:val="baseline"/>
        </w:rPr>
        <w:t>custyzb@cust.edu.cn</w:t>
      </w: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6、《诚信复试承诺书》（见附件2）。考生应在学校复试实施办法、复试通知公布后，仔细阅读了解后，再行签署《诚信复试承诺书》。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7、考生提交材料清单（见附件3）。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8、无法提供相关材料的，需单独提供情况说明。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各附件详见《长春理工大学2023年硕士研究生复试考生提交材料说明》，网址：</w:t>
      </w:r>
      <w:r>
        <w:rPr>
          <w:rFonts w:hint="eastAsia" w:ascii="微软雅黑" w:hAnsi="微软雅黑" w:eastAsia="微软雅黑" w:cs="微软雅黑"/>
          <w:i w:val="0"/>
          <w:iCs w:val="0"/>
          <w:caps w:val="0"/>
          <w:spacing w:val="0"/>
          <w:sz w:val="14"/>
          <w:szCs w:val="14"/>
          <w:u w:val="none"/>
          <w:bdr w:val="none" w:color="auto" w:sz="0" w:space="0"/>
          <w:shd w:val="clear" w:fill="FFFFFF"/>
          <w:vertAlign w:val="baseline"/>
        </w:rPr>
        <w:fldChar w:fldCharType="begin"/>
      </w:r>
      <w:r>
        <w:rPr>
          <w:rFonts w:hint="eastAsia" w:ascii="微软雅黑" w:hAnsi="微软雅黑" w:eastAsia="微软雅黑" w:cs="微软雅黑"/>
          <w:i w:val="0"/>
          <w:iCs w:val="0"/>
          <w:caps w:val="0"/>
          <w:spacing w:val="0"/>
          <w:sz w:val="14"/>
          <w:szCs w:val="14"/>
          <w:u w:val="none"/>
          <w:bdr w:val="none" w:color="auto" w:sz="0" w:space="0"/>
          <w:shd w:val="clear" w:fill="FFFFFF"/>
          <w:vertAlign w:val="baseline"/>
        </w:rPr>
        <w:instrText xml:space="preserve"> HYPERLINK "https://yzb.cust.edu.cn/zsxx/9438791fa6ae4a579a173195657a61b3.htm" </w:instrText>
      </w:r>
      <w:r>
        <w:rPr>
          <w:rFonts w:hint="eastAsia" w:ascii="微软雅黑" w:hAnsi="微软雅黑" w:eastAsia="微软雅黑" w:cs="微软雅黑"/>
          <w:i w:val="0"/>
          <w:iCs w:val="0"/>
          <w:caps w:val="0"/>
          <w:spacing w:val="0"/>
          <w:sz w:val="14"/>
          <w:szCs w:val="14"/>
          <w:u w:val="none"/>
          <w:bdr w:val="none" w:color="auto" w:sz="0" w:space="0"/>
          <w:shd w:val="clear" w:fill="FFFFFF"/>
          <w:vertAlign w:val="baseline"/>
        </w:rPr>
        <w:fldChar w:fldCharType="separate"/>
      </w:r>
      <w:r>
        <w:rPr>
          <w:rStyle w:val="6"/>
          <w:rFonts w:hint="default" w:ascii="Times New Roman" w:hAnsi="Times New Roman" w:eastAsia="微软雅黑" w:cs="Times New Roman"/>
          <w:i w:val="0"/>
          <w:iCs w:val="0"/>
          <w:caps w:val="0"/>
          <w:color w:val="0563C1"/>
          <w:spacing w:val="0"/>
          <w:sz w:val="21"/>
          <w:szCs w:val="21"/>
          <w:u w:val="single"/>
          <w:bdr w:val="none" w:color="auto" w:sz="0" w:space="0"/>
          <w:shd w:val="clear" w:fill="FFFFFF"/>
          <w:vertAlign w:val="baseline"/>
        </w:rPr>
        <w:t>https://yzb.cust.edu.cn/zsxx/9438791fa6ae4a579a173195657a61b3.htm</w:t>
      </w:r>
      <w:r>
        <w:rPr>
          <w:rFonts w:hint="eastAsia" w:ascii="微软雅黑" w:hAnsi="微软雅黑" w:eastAsia="微软雅黑" w:cs="微软雅黑"/>
          <w:i w:val="0"/>
          <w:iCs w:val="0"/>
          <w:caps w:val="0"/>
          <w:spacing w:val="0"/>
          <w:sz w:val="14"/>
          <w:szCs w:val="14"/>
          <w:u w:val="none"/>
          <w:bdr w:val="none" w:color="auto" w:sz="0" w:space="0"/>
          <w:shd w:val="clear" w:fill="FFFFFF"/>
          <w:vertAlign w:val="baseline"/>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（二）提交的电子版文件夹及文件名称命名格式要求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1、外部文件夹命名要求：“专业名称--考生编号--姓名”。命名后可压缩发送，压缩文件名和上述要求相同。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6"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2、文件夹内文件命名要求：“序号--电子版文件名称--考生编号--姓名”，序号对应项参照下表：</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93"/>
        <w:gridCol w:w="4178"/>
        <w:gridCol w:w="493"/>
        <w:gridCol w:w="22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5" w:hRule="atLeast"/>
        </w:trPr>
        <w:tc>
          <w:tcPr>
            <w:tcW w:w="493" w:type="dxa"/>
            <w:tcBorders>
              <w:top w:val="nil"/>
              <w:left w:val="nil"/>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b/>
                <w:bCs/>
                <w:color w:val="333333"/>
                <w:sz w:val="24"/>
                <w:szCs w:val="24"/>
                <w:bdr w:val="none" w:color="auto" w:sz="0" w:space="0"/>
                <w:vertAlign w:val="baseline"/>
              </w:rPr>
              <w:t>序号</w:t>
            </w:r>
          </w:p>
        </w:tc>
        <w:tc>
          <w:tcPr>
            <w:tcW w:w="4178" w:type="dxa"/>
            <w:tcBorders>
              <w:top w:val="nil"/>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b/>
                <w:bCs/>
                <w:color w:val="333333"/>
                <w:sz w:val="24"/>
                <w:szCs w:val="24"/>
                <w:bdr w:val="none" w:color="auto" w:sz="0" w:space="0"/>
                <w:vertAlign w:val="baseline"/>
              </w:rPr>
              <w:t>电子版文件名称</w:t>
            </w:r>
          </w:p>
        </w:tc>
        <w:tc>
          <w:tcPr>
            <w:tcW w:w="493" w:type="dxa"/>
            <w:tcBorders>
              <w:top w:val="nil"/>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b/>
                <w:bCs/>
                <w:color w:val="333333"/>
                <w:sz w:val="24"/>
                <w:szCs w:val="24"/>
                <w:bdr w:val="none" w:color="auto" w:sz="0" w:space="0"/>
                <w:vertAlign w:val="baseline"/>
              </w:rPr>
              <w:t>序号</w:t>
            </w:r>
          </w:p>
        </w:tc>
        <w:tc>
          <w:tcPr>
            <w:tcW w:w="2273" w:type="dxa"/>
            <w:tcBorders>
              <w:top w:val="nil"/>
              <w:left w:val="single" w:color="auto" w:sz="6" w:space="0"/>
              <w:bottom w:val="single" w:color="auto" w:sz="6" w:space="0"/>
              <w:right w:val="nil"/>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b/>
                <w:bCs/>
                <w:color w:val="333333"/>
                <w:sz w:val="24"/>
                <w:szCs w:val="24"/>
                <w:bdr w:val="none" w:color="auto" w:sz="0" w:space="0"/>
                <w:vertAlign w:val="baseline"/>
              </w:rPr>
              <w:t>电子版文件名称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5" w:hRule="atLeast"/>
        </w:trPr>
        <w:tc>
          <w:tcPr>
            <w:tcW w:w="493" w:type="dxa"/>
            <w:tcBorders>
              <w:top w:val="single" w:color="auto" w:sz="6" w:space="0"/>
              <w:left w:val="nil"/>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1</w:t>
            </w:r>
          </w:p>
        </w:tc>
        <w:tc>
          <w:tcPr>
            <w:tcW w:w="4178"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学生证</w:t>
            </w:r>
          </w:p>
        </w:tc>
        <w:tc>
          <w:tcPr>
            <w:tcW w:w="493"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6</w:t>
            </w:r>
          </w:p>
        </w:tc>
        <w:tc>
          <w:tcPr>
            <w:tcW w:w="2273" w:type="dxa"/>
            <w:tcBorders>
              <w:top w:val="single" w:color="auto" w:sz="6" w:space="0"/>
              <w:left w:val="single" w:color="auto" w:sz="6" w:space="0"/>
              <w:bottom w:val="single" w:color="auto" w:sz="6" w:space="0"/>
              <w:right w:val="nil"/>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其它获奖及证明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5" w:hRule="atLeast"/>
        </w:trPr>
        <w:tc>
          <w:tcPr>
            <w:tcW w:w="493" w:type="dxa"/>
            <w:tcBorders>
              <w:top w:val="single" w:color="auto" w:sz="6" w:space="0"/>
              <w:left w:val="nil"/>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2</w:t>
            </w:r>
          </w:p>
        </w:tc>
        <w:tc>
          <w:tcPr>
            <w:tcW w:w="4178"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毕业证</w:t>
            </w:r>
          </w:p>
        </w:tc>
        <w:tc>
          <w:tcPr>
            <w:tcW w:w="493"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7</w:t>
            </w:r>
          </w:p>
        </w:tc>
        <w:tc>
          <w:tcPr>
            <w:tcW w:w="2273" w:type="dxa"/>
            <w:tcBorders>
              <w:top w:val="single" w:color="auto" w:sz="6" w:space="0"/>
              <w:left w:val="single" w:color="auto" w:sz="6" w:space="0"/>
              <w:bottom w:val="single" w:color="auto" w:sz="6" w:space="0"/>
              <w:right w:val="nil"/>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诚信复试承诺书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5" w:hRule="atLeast"/>
        </w:trPr>
        <w:tc>
          <w:tcPr>
            <w:tcW w:w="493" w:type="dxa"/>
            <w:tcBorders>
              <w:top w:val="single" w:color="auto" w:sz="6" w:space="0"/>
              <w:left w:val="nil"/>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3</w:t>
            </w:r>
          </w:p>
        </w:tc>
        <w:tc>
          <w:tcPr>
            <w:tcW w:w="4178"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学位证</w:t>
            </w:r>
          </w:p>
        </w:tc>
        <w:tc>
          <w:tcPr>
            <w:tcW w:w="493"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8</w:t>
            </w:r>
          </w:p>
        </w:tc>
        <w:tc>
          <w:tcPr>
            <w:tcW w:w="2273" w:type="dxa"/>
            <w:tcBorders>
              <w:top w:val="single" w:color="auto" w:sz="6" w:space="0"/>
              <w:left w:val="single" w:color="auto" w:sz="6" w:space="0"/>
              <w:bottom w:val="single" w:color="auto" w:sz="6" w:space="0"/>
              <w:right w:val="nil"/>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入伍批准书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5" w:hRule="atLeast"/>
        </w:trPr>
        <w:tc>
          <w:tcPr>
            <w:tcW w:w="493" w:type="dxa"/>
            <w:tcBorders>
              <w:top w:val="single" w:color="auto" w:sz="6" w:space="0"/>
              <w:left w:val="nil"/>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4</w:t>
            </w:r>
          </w:p>
        </w:tc>
        <w:tc>
          <w:tcPr>
            <w:tcW w:w="4178"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本科成绩单</w:t>
            </w:r>
          </w:p>
        </w:tc>
        <w:tc>
          <w:tcPr>
            <w:tcW w:w="493"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9</w:t>
            </w:r>
          </w:p>
        </w:tc>
        <w:tc>
          <w:tcPr>
            <w:tcW w:w="2273" w:type="dxa"/>
            <w:tcBorders>
              <w:top w:val="single" w:color="auto" w:sz="6" w:space="0"/>
              <w:left w:val="single" w:color="auto" w:sz="6" w:space="0"/>
              <w:bottom w:val="single" w:color="auto" w:sz="6" w:space="0"/>
              <w:right w:val="nil"/>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退出现役证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5" w:hRule="atLeast"/>
        </w:trPr>
        <w:tc>
          <w:tcPr>
            <w:tcW w:w="493" w:type="dxa"/>
            <w:tcBorders>
              <w:top w:val="single" w:color="auto" w:sz="6" w:space="0"/>
              <w:left w:val="nil"/>
              <w:bottom w:val="nil"/>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5</w:t>
            </w:r>
          </w:p>
        </w:tc>
        <w:tc>
          <w:tcPr>
            <w:tcW w:w="4178" w:type="dxa"/>
            <w:tcBorders>
              <w:top w:val="single" w:color="auto" w:sz="6" w:space="0"/>
              <w:left w:val="single" w:color="auto" w:sz="6" w:space="0"/>
              <w:bottom w:val="nil"/>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报考硕士研究生现实表现情况调查表</w:t>
            </w:r>
          </w:p>
        </w:tc>
        <w:tc>
          <w:tcPr>
            <w:tcW w:w="493" w:type="dxa"/>
            <w:tcBorders>
              <w:top w:val="single" w:color="auto" w:sz="6" w:space="0"/>
              <w:left w:val="single" w:color="auto" w:sz="6" w:space="0"/>
              <w:bottom w:val="nil"/>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10</w:t>
            </w:r>
          </w:p>
        </w:tc>
        <w:tc>
          <w:tcPr>
            <w:tcW w:w="2273" w:type="dxa"/>
            <w:tcBorders>
              <w:top w:val="single" w:color="auto" w:sz="6" w:space="0"/>
              <w:left w:val="single" w:color="auto" w:sz="6" w:space="0"/>
              <w:bottom w:val="nil"/>
              <w:right w:val="nil"/>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材料清单</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textAlignment w:val="baseline"/>
        <w:rPr>
          <w:sz w:val="21"/>
          <w:szCs w:val="21"/>
        </w:rPr>
      </w:pPr>
      <w:r>
        <w:rPr>
          <w:rFonts w:hint="default" w:ascii="仿宋_GB2312" w:hAnsi="微软雅黑" w:eastAsia="仿宋_GB2312" w:cs="仿宋_GB2312"/>
          <w:i w:val="0"/>
          <w:iCs w:val="0"/>
          <w:caps w:val="0"/>
          <w:color w:val="3E3E3E"/>
          <w:spacing w:val="0"/>
          <w:sz w:val="21"/>
          <w:szCs w:val="21"/>
          <w:bdr w:val="none" w:color="auto" w:sz="0" w:space="0"/>
          <w:shd w:val="clear" w:fill="FFFFFF"/>
          <w:vertAlign w:val="baseline"/>
        </w:rPr>
        <w:t>注：应届生提供学生证，往届生提供毕业证与学位证，退役大学生士兵专项计划考生提供入伍批准书与退出现役证。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3、参照样例：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baseline"/>
        <w:rPr>
          <w:sz w:val="28"/>
          <w:szCs w:val="28"/>
        </w:rPr>
      </w:pPr>
      <w:r>
        <w:rPr>
          <w:rFonts w:ascii="微软雅黑" w:hAnsi="微软雅黑" w:eastAsia="微软雅黑" w:cs="微软雅黑"/>
          <w:i w:val="0"/>
          <w:iCs w:val="0"/>
          <w:caps w:val="0"/>
          <w:color w:val="3E3E3E"/>
          <w:spacing w:val="0"/>
          <w:sz w:val="28"/>
          <w:szCs w:val="28"/>
          <w:bdr w:val="none" w:color="auto" w:sz="0" w:space="0"/>
          <w:shd w:val="clear" w:fill="FFFFFF"/>
          <w:vertAlign w:val="baseline"/>
        </w:rPr>
        <w:br w:type="textWrapping"/>
      </w:r>
      <w:r>
        <w:rPr>
          <w:rFonts w:hint="eastAsia" w:ascii="微软雅黑" w:hAnsi="微软雅黑" w:eastAsia="微软雅黑" w:cs="微软雅黑"/>
          <w:i w:val="0"/>
          <w:iCs w:val="0"/>
          <w:caps w:val="0"/>
          <w:color w:val="3E3E3E"/>
          <w:spacing w:val="0"/>
          <w:sz w:val="28"/>
          <w:szCs w:val="28"/>
          <w:bdr w:val="none" w:color="auto" w:sz="0" w:space="0"/>
          <w:shd w:val="clear" w:fill="FFFFFF"/>
        </w:rPr>
        <w:drawing>
          <wp:inline distT="0" distB="0" distL="114300" distR="114300">
            <wp:extent cx="5314950" cy="19812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314950" cy="19812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（三）电子版文件夹提交方式及时间要求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考生以邮件形式提交至邮箱：</w:t>
      </w:r>
      <w:r>
        <w:rPr>
          <w:rFonts w:hint="default" w:ascii="Times New Roman" w:hAnsi="Times New Roman" w:eastAsia="微软雅黑" w:cs="Times New Roman"/>
          <w:i w:val="0"/>
          <w:iCs w:val="0"/>
          <w:caps w:val="0"/>
          <w:color w:val="3E3E3E"/>
          <w:spacing w:val="0"/>
          <w:sz w:val="28"/>
          <w:szCs w:val="28"/>
          <w:bdr w:val="none" w:color="auto" w:sz="0" w:space="0"/>
          <w:shd w:val="clear" w:fill="FFFFFF"/>
          <w:vertAlign w:val="baseline"/>
        </w:rPr>
        <w:t>185940618@qq.com</w:t>
      </w: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，邮件标题注明“专业名称+考生编号+姓名”，请各位考生务必于复试日期前一天完成提交。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八、考生需提前准备的器材等要求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1、两部能够上网的智能设备，其中至少有一部为手机。按要求下载安装必要软件。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2、稳定的网络环境。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3、独立空间、环境简洁。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4、白纸少量、笔一支。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5、以上条件不具备的考生，请及时与学院或学校研招办取得联系，以便研究解决。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九、待录取流程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1、复试成绩公布后，我校将通过研究生招生信息网调剂系统为拟录取考生发送待录取通知，调剂考生需于12小时内接受待录取通知，否则视为放弃拟录取资格。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FF0000"/>
          <w:spacing w:val="0"/>
          <w:sz w:val="28"/>
          <w:szCs w:val="28"/>
          <w:bdr w:val="none" w:color="auto" w:sz="0" w:space="0"/>
          <w:shd w:val="clear" w:fill="FFFFFF"/>
          <w:vertAlign w:val="baseline"/>
        </w:rPr>
        <w:t>2、考生一经接受我校待录取通知，不予解除。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十、复试纪律和要求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ascii="仿宋" w:hAnsi="仿宋" w:eastAsia="仿宋" w:cs="仿宋"/>
          <w:i w:val="0"/>
          <w:iCs w:val="0"/>
          <w:caps w:val="0"/>
          <w:color w:val="3E3E3E"/>
          <w:spacing w:val="0"/>
          <w:sz w:val="28"/>
          <w:szCs w:val="28"/>
          <w:bdr w:val="none" w:color="auto" w:sz="0" w:space="0"/>
          <w:shd w:val="clear" w:fill="FFFFFF"/>
          <w:vertAlign w:val="baseline"/>
        </w:rPr>
        <w:t>1、严格执行国家政策及学校相关规定，不得超越国家和学校招生政策的规定和权限自定招生办法。严格按照学校规定的复试录取程序、要求和时间表进行操作，不得擅自变更。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eastAsia" w:ascii="仿宋" w:hAnsi="仿宋" w:eastAsia="仿宋" w:cs="仿宋"/>
          <w:i w:val="0"/>
          <w:iCs w:val="0"/>
          <w:caps w:val="0"/>
          <w:color w:val="3E3E3E"/>
          <w:spacing w:val="0"/>
          <w:sz w:val="28"/>
          <w:szCs w:val="28"/>
          <w:bdr w:val="none" w:color="auto" w:sz="0" w:space="0"/>
          <w:shd w:val="clear" w:fill="FFFFFF"/>
          <w:vertAlign w:val="baseline"/>
        </w:rPr>
        <w:t>2、学校纪检监察机构将加大监督检查力度，对复试现场进行监督检查，确保复试录取工作政策透明、程序规范、操作公开、监督有力，切实维护考生的合法权益。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eastAsia" w:ascii="仿宋" w:hAnsi="仿宋" w:eastAsia="仿宋" w:cs="仿宋"/>
          <w:i w:val="0"/>
          <w:iCs w:val="0"/>
          <w:caps w:val="0"/>
          <w:color w:val="3E3E3E"/>
          <w:spacing w:val="0"/>
          <w:sz w:val="28"/>
          <w:szCs w:val="28"/>
          <w:bdr w:val="none" w:color="auto" w:sz="0" w:space="0"/>
          <w:shd w:val="clear" w:fill="FFFFFF"/>
          <w:vertAlign w:val="baseline"/>
        </w:rPr>
        <w:t>3、考生要严格遵守《长春理工大学2023年硕士研究生招生复试考生须知》、《长春理工大学2023年硕士研究生诚信复试承诺书》等学校和国家相关文件规定的纪律要求。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eastAsia" w:ascii="仿宋" w:hAnsi="仿宋" w:eastAsia="仿宋" w:cs="仿宋"/>
          <w:i w:val="0"/>
          <w:iCs w:val="0"/>
          <w:caps w:val="0"/>
          <w:color w:val="3E3E3E"/>
          <w:spacing w:val="0"/>
          <w:sz w:val="28"/>
          <w:szCs w:val="28"/>
          <w:bdr w:val="none" w:color="auto" w:sz="0" w:space="0"/>
          <w:shd w:val="clear" w:fill="FFFFFF"/>
          <w:vertAlign w:val="baseline"/>
        </w:rPr>
        <w:t>4、对复试期间违反相关规定发生舞弊事件的，要依据《关于对普通高等学校招生考试中违纪行为责任追究暂行办法》等规定，对当事人严肃处理，涉嫌刑事犯罪的移交司法机关调查。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十一、其它事宜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其它工作依据《长春理工大学2023年硕士研究生招生考试复试实施办法》、《长春理工大学2023年硕士研究生招生考试复试通知》等文件执行。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right"/>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长春理工大学 机电工程学院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right"/>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2023年4月6日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7BC0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2023-05-30T07:09:16Z</dcterms:created>
  <dc:creator>Administrator</dc:creator>
  <cp:lastModifiedBy>王英</cp:lastModifiedBy>
  <dcterms:modified xsi:type="dcterms:W3CDTF">2023-05-30T07:09:26Z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E1C014B2CC6147679E85D4EA77CE1997</vt:lpwstr>
  </property>
</Properties>
</file>