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00" w:beforeAutospacing="0" w:after="302" w:afterAutospacing="0" w:line="11" w:lineRule="atLeast"/>
        <w:jc w:val="left"/>
        <w:rPr>
          <w:rFonts w:ascii="微软雅黑" w:hAnsi="微软雅黑" w:eastAsia="微软雅黑" w:cs="微软雅黑"/>
          <w:b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6"/>
          <w:szCs w:val="36"/>
          <w:shd w:val="clear" w:fill="FFFFFF"/>
        </w:rPr>
        <w:t>闽南师范大学教育科学学院欢迎2023年硕士研究生考生调剂!</w:t>
      </w:r>
    </w:p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发布日期：2023年03月30日 发布人： 浏览次数： 2763 次 【</w: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"https://jkxy.mnnu.edu.cn/info/1029/javascript:dosubc198708()" </w:instrTex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caps w:val="0"/>
          <w:color w:val="686868"/>
          <w:spacing w:val="0"/>
          <w:sz w:val="14"/>
          <w:szCs w:val="14"/>
          <w:u w:val="none"/>
          <w:shd w:val="clear" w:fill="FFFFFF"/>
        </w:rPr>
        <w:t>收藏此文</w: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left"/>
        <w:rPr>
          <w:rFonts w:ascii="Calibri" w:hAnsi="Calibri" w:cs="Calibri"/>
          <w:sz w:val="24"/>
          <w:szCs w:val="24"/>
        </w:rPr>
      </w:pPr>
      <w:r>
        <w:rPr>
          <w:rStyle w:val="6"/>
          <w:rFonts w:ascii="仿宋" w:hAnsi="仿宋" w:eastAsia="仿宋" w:cs="仿宋"/>
          <w:b/>
          <w:i w:val="0"/>
          <w:caps w:val="0"/>
          <w:spacing w:val="0"/>
          <w:sz w:val="16"/>
          <w:szCs w:val="16"/>
          <w:bdr w:val="none" w:color="auto" w:sz="0" w:space="0"/>
          <w:shd w:val="clear" w:fill="FFFFFF"/>
        </w:rPr>
        <w:t>一</w:t>
      </w:r>
      <w:r>
        <w:rPr>
          <w:rStyle w:val="6"/>
          <w:rFonts w:hint="eastAsia" w:ascii="仿宋" w:hAnsi="仿宋" w:eastAsia="仿宋" w:cs="仿宋"/>
          <w:b/>
          <w:i w:val="0"/>
          <w:caps w:val="0"/>
          <w:spacing w:val="0"/>
          <w:sz w:val="16"/>
          <w:szCs w:val="16"/>
          <w:bdr w:val="none" w:color="auto" w:sz="0" w:space="0"/>
          <w:shd w:val="clear" w:fill="FFFFFF"/>
        </w:rPr>
        <w:t>、拟接收调剂专业目录</w:t>
      </w:r>
    </w:p>
    <w:tbl>
      <w:tblPr>
        <w:tblW w:w="8843" w:type="dxa"/>
        <w:tblInd w:w="24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09"/>
        <w:gridCol w:w="2174"/>
        <w:gridCol w:w="276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专业代码及名称</w:t>
            </w:r>
          </w:p>
        </w:tc>
        <w:tc>
          <w:tcPr>
            <w:tcW w:w="12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学习方式</w:t>
            </w:r>
          </w:p>
        </w:tc>
        <w:tc>
          <w:tcPr>
            <w:tcW w:w="1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学位类型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040201基础心理学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学术学位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040202发展与教育心理学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学术学位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040203应用心理学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学术学位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040102课程与教学论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学术学位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040106高等教育学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学术学位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040109特殊教育学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学术学位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0401Z1教师教育学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学术学位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045101 教育管理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专业学位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045114 现代教育技术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专业学位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045119特殊教育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专业学位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0454应用心理（士兵专项）</w:t>
            </w:r>
          </w:p>
        </w:tc>
        <w:tc>
          <w:tcPr>
            <w:tcW w:w="12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全日制</w:t>
            </w:r>
          </w:p>
        </w:tc>
        <w:tc>
          <w:tcPr>
            <w:tcW w:w="156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sz w:val="16"/>
                <w:szCs w:val="16"/>
              </w:rPr>
              <w:t>专业学位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kern w:val="0"/>
          <w:sz w:val="16"/>
          <w:szCs w:val="16"/>
          <w:lang w:val="en-US" w:eastAsia="zh-CN" w:bidi="ar"/>
        </w:rPr>
        <w:t>二、学院心理学、教育学学科简介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闽南师范大学心理学学科，是福建省重点学科、福建省高等学校应用型学科。心理学专业获批国家级一流本科专业建设点。拥有福建省重点实验室、福建省实验教学示范中心、福建省专业学位研究生联合培养示范基地，是福建省未成年人心理健康成长指导中心依托学科。 教育学学科，是福建省高原学科建设学科。小学教育专业获批福建省一流专业建设点。拥有福建省2011协同创新中心，是福建省教育督导智库建设单位依托学科。两个学科在区域农村教师发展、家庭成长教育、教育督导、留守儿童关爱教育、自闭症诊治与教育等学科领域形成了自身的特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2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kern w:val="0"/>
          <w:sz w:val="16"/>
          <w:szCs w:val="16"/>
          <w:lang w:val="en-US" w:eastAsia="zh-CN" w:bidi="ar"/>
        </w:rPr>
        <w:t>1.学科人才培养模式改革、课程建设、实验室建设、社会服务得到了广泛认可：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（1）国家级一流专业建设点（心理学）、省级一流专业建设点（心理学、小学教育）；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（2）国家级基础教育教学成果奖二等奖（实习支教促进留守儿童阳光成长的实践与研究）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（3）国家级一流课程《箱庭疗法》；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4）省级一流本科课程《箱庭疗法》(线下一流)、《教学系统设计》（线上线下混合式一流）、《现代教育技术应用》（线上线下混合式一流）、《教育电视节目制作》（社会实践一流）、《现代教育技术应用》（精品在线开放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（5）省级课程思政示范项目《箱庭疗法》；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（6）省级基础教育教学成果特等奖（教育扶贫视域下特殊群体儿童PEER家庭成长教育实践与研究）；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（7）省级基础教育教学成果特等奖（实习支教促进留守儿童阳光成长的实践与研究）；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（8）省级基础教育教学成果一等奖（以教育戏剧为媒介推动中小学人文素养教育的探索与实践）；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（9）省级基础教育教学成果奖二等奖（小学名师“临床专家型”发展模式的探索与实践）。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2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kern w:val="0"/>
          <w:sz w:val="16"/>
          <w:szCs w:val="16"/>
          <w:lang w:val="en-US" w:eastAsia="zh-CN" w:bidi="ar"/>
        </w:rPr>
        <w:t>2.心理学、教育学硕士学位点包括：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（1）心理学一级学科硕士点（含基础心理学、发展与教育心理学、应用心理学等3个二级学科硕士点）；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（2）教育学一级学科硕士点（含课程与教学论、高等教育学、特殊教育学和教师教育学4个二级学科硕士点）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（3）教育硕士专业学位点（小学教育、学前教育、现代教育技术、心理健康教育、教育管理、特殊教育等6个专业学位点）；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（4）应用心理专业学位点（含临床心理与咨询、心理发展与教育、 组织行为与管理等3个学科领域）。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2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kern w:val="0"/>
          <w:sz w:val="16"/>
          <w:szCs w:val="16"/>
          <w:lang w:val="en-US" w:eastAsia="zh-CN" w:bidi="ar"/>
        </w:rPr>
        <w:t>3.科研与实践平台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（1）福建省重点学科（心理学）；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（2）福建省高等学校应用型学科（心理学）；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（3）福建省2011协同创新中心（区域农村教师发展协同创新中心）；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（4）福建省重点实验室（应用认知与人格实验室）；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（5）福建省研究生创新教育基地（培育）；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（6）福建省心理健康教育专业学位研究生联合培养示范基地；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（7）福建教育督导智库建设单位；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16"/>
          <w:szCs w:val="16"/>
          <w:lang w:val="en-US" w:eastAsia="zh-CN" w:bidi="ar"/>
        </w:rPr>
        <w:t>（8）福建省未成年人校外心理健康成长指导中心。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3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 w:eastAsiaTheme="minorEastAsia"/>
          <w:kern w:val="0"/>
          <w:sz w:val="21"/>
          <w:szCs w:val="21"/>
          <w:bdr w:val="none" w:color="auto" w:sz="0" w:space="0"/>
          <w:lang w:val="en-US" w:eastAsia="zh-CN" w:bidi="ar"/>
        </w:rPr>
        <w:drawing>
          <wp:inline distT="0" distB="0" distL="114300" distR="114300">
            <wp:extent cx="5572125" cy="3200400"/>
            <wp:effectExtent l="0" t="0" r="317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仿宋" w:hAnsi="仿宋" w:eastAsia="仿宋" w:cs="仿宋"/>
          <w:b/>
          <w:kern w:val="0"/>
          <w:sz w:val="21"/>
          <w:szCs w:val="21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left"/>
        <w:rPr>
          <w:rFonts w:hint="default" w:ascii="Calibri" w:hAnsi="Calibri" w:cs="Calibri"/>
          <w:sz w:val="24"/>
          <w:szCs w:val="24"/>
        </w:rPr>
      </w:pPr>
      <w:r>
        <w:rPr>
          <w:rStyle w:val="6"/>
          <w:rFonts w:hint="eastAsia" w:ascii="仿宋" w:hAnsi="仿宋" w:eastAsia="仿宋" w:cs="仿宋"/>
          <w:b/>
          <w:i w:val="0"/>
          <w:caps w:val="0"/>
          <w:spacing w:val="0"/>
          <w:sz w:val="16"/>
          <w:szCs w:val="16"/>
          <w:bdr w:val="none" w:color="auto" w:sz="0" w:space="0"/>
          <w:shd w:val="clear" w:fill="FFFFFF"/>
        </w:rPr>
        <w:t>三、联系方式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spacing w:val="0"/>
          <w:sz w:val="16"/>
          <w:szCs w:val="16"/>
          <w:bdr w:val="none" w:color="auto" w:sz="0" w:space="0"/>
          <w:shd w:val="clear" w:fill="FFFFFF"/>
        </w:rPr>
        <w:t>研究生秘书崔老师电话：18859681069；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spacing w:val="0"/>
          <w:sz w:val="16"/>
          <w:szCs w:val="16"/>
          <w:bdr w:val="none" w:color="auto" w:sz="0" w:space="0"/>
          <w:shd w:val="clear" w:fill="FFFFFF"/>
        </w:rPr>
        <w:t>邮箱：</w:t>
      </w:r>
      <w:r>
        <w:rPr>
          <w:rFonts w:hint="eastAsia" w:ascii="仿宋" w:hAnsi="仿宋" w:eastAsia="仿宋" w:cs="仿宋"/>
          <w:i w:val="0"/>
          <w:caps w:val="0"/>
          <w:color w:val="686868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686868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"mailto:505614387@qq.com" </w:instrText>
      </w:r>
      <w:r>
        <w:rPr>
          <w:rFonts w:hint="eastAsia" w:ascii="仿宋" w:hAnsi="仿宋" w:eastAsia="仿宋" w:cs="仿宋"/>
          <w:i w:val="0"/>
          <w:caps w:val="0"/>
          <w:color w:val="686868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686868"/>
          <w:spacing w:val="0"/>
          <w:sz w:val="16"/>
          <w:szCs w:val="16"/>
          <w:u w:val="single"/>
          <w:bdr w:val="none" w:color="auto" w:sz="0" w:space="0"/>
          <w:shd w:val="clear" w:fill="FFFFFF"/>
        </w:rPr>
        <w:t>505614387@qq.com</w:t>
      </w:r>
      <w:r>
        <w:rPr>
          <w:rFonts w:hint="eastAsia" w:ascii="仿宋" w:hAnsi="仿宋" w:eastAsia="仿宋" w:cs="仿宋"/>
          <w:i w:val="0"/>
          <w:caps w:val="0"/>
          <w:color w:val="686868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spacing w:val="0"/>
          <w:sz w:val="16"/>
          <w:szCs w:val="16"/>
          <w:bdr w:val="none" w:color="auto" w:sz="0" w:space="0"/>
          <w:shd w:val="clear" w:fill="FFFFFF"/>
        </w:rPr>
        <w:t>调剂QQ群：①994347811 ②1011171536 ③1009119862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仿宋" w:hAnsi="仿宋" w:eastAsia="仿宋" w:cs="仿宋"/>
          <w:b/>
          <w:i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四、</w:t>
      </w:r>
      <w:r>
        <w:rPr>
          <w:rStyle w:val="6"/>
          <w:rFonts w:hint="eastAsia" w:ascii="仿宋" w:hAnsi="仿宋" w:eastAsia="仿宋" w:cs="仿宋"/>
          <w:b/>
          <w:i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学院官网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spacing w:val="0"/>
          <w:sz w:val="16"/>
          <w:szCs w:val="16"/>
          <w:bdr w:val="none" w:color="auto" w:sz="0" w:space="0"/>
          <w:shd w:val="clear" w:fill="FFFFFF"/>
        </w:rPr>
        <w:t>更多详情请见学院官网：</w:t>
      </w:r>
      <w:r>
        <w:rPr>
          <w:rFonts w:hint="eastAsia" w:ascii="仿宋" w:hAnsi="仿宋" w:eastAsia="仿宋" w:cs="仿宋"/>
          <w:i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"https://jkxy.mnnu.edu.cn/" </w:instrText>
      </w:r>
      <w:r>
        <w:rPr>
          <w:rFonts w:hint="eastAsia" w:ascii="仿宋" w:hAnsi="仿宋" w:eastAsia="仿宋" w:cs="仿宋"/>
          <w:i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https://jkxy.mnnu.edu.cn/</w:t>
      </w:r>
      <w:r>
        <w:rPr>
          <w:rFonts w:hint="eastAsia" w:ascii="仿宋" w:hAnsi="仿宋" w:eastAsia="仿宋" w:cs="仿宋"/>
          <w:i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34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2023-05-16T03:15:21Z</dcterms:created>
  <dc:creator>86188</dc:creator>
  <cp:lastModifiedBy>随风而动</cp:lastModifiedBy>
  <dcterms:modified xsi:type="dcterms:W3CDTF">2023-05-16T03:15:25Z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