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00000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法学院2023年法硕招生第1次调剂考生复试注意事项与复试名单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rFonts w:hint="eastAsia" w:ascii="微软雅黑" w:hAnsi="微软雅黑" w:eastAsia="微软雅黑" w:cs="微软雅黑"/>
          <w:color w:val="999999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作者： 时间：2023-04-07 点击数：807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一、调剂法硕考生复试注意事项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（一）调剂法硕考生复试相关资格审查、复试内容、流程与规则、复试成绩计算内容与方法等依据本院已发布2023年法硕复试方案进行；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（二）调剂法硕考生复试差额方式，比例为1:1.5。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（三）根据学校分配指标和我院实际情况，调剂法硕考生计划招生5人，法律（法学）2人，法律（非法学）3人。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（四）根据教育部有关调剂法硕考生复试文件要求，确定复试名单（具体名单见附件）。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二、调剂法硕考生复试地点与时间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（一）调剂法硕考生复试资格审查及思想政治考核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2023年4月9日 上午 8:30—9:30 景行楼809室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（二）调剂法硕考生复试专业笔试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2023年4月9日 上午 10:00—11:00 景行楼 812室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（二）调剂法硕考生复试综合面试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2023年4月9日 下午 2:30— 5:30 景行楼 812室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right"/>
        <w:rPr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咨询电话：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0558-2596323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</w:rPr>
        <w:t>附件【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instrText xml:space="preserve"> HYPERLINK "http://www.fynu.edu.cn/system/_content/download.jsp?urltype=news.DownloadAttachUrl&amp;owner=1681777442&amp;wbfileid=7767873" \t "http://www.fynu.edu.cn/zfxy/info/1152/_blank"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t>法学院2023年法律硕士调剂考生复试名单.doc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</w:rPr>
        <w:t>】已下载420次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F686F9"/>
    <w:multiLevelType w:val="multilevel"/>
    <w:tmpl w:val="59F686F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8537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2023-05-25T06:43:42Z</dcterms:created>
  <dc:creator>Administrator</dc:creator>
  <cp:lastModifiedBy>王英</cp:lastModifiedBy>
  <dcterms:modified xsi:type="dcterms:W3CDTF">2023-05-25T06:43:48Z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55E12FEEFE134C8A8D065F57B1FAC134</vt:lpwstr>
  </property>
</Properties>
</file>