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tcBorders>
              <w:top w:val="nil"/>
              <w:left w:val="nil"/>
              <w:bottom w:val="nil"/>
              <w:right w:val="nil"/>
            </w:tcBorders>
            <w:shd w:val="clear" w:color="auto" w:fill="FFFFFF"/>
            <w:vAlign w:val="center"/>
          </w:tcPr>
          <w:tbl>
            <w:tblPr>
              <w:tblW w:w="4900"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1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81" w:hRule="atLeast"/>
                <w:tblCellSpacing w:w="0" w:type="dxa"/>
                <w:jc w:val="center"/>
              </w:trPr>
              <w:tc>
                <w:tcPr>
                  <w:tcW w:w="0" w:type="auto"/>
                  <w:tcBorders>
                    <w:top w:val="nil"/>
                    <w:left w:val="nil"/>
                    <w:bottom w:val="nil"/>
                    <w:right w:val="nil"/>
                  </w:tcBorders>
                  <w:shd w:val="clear"/>
                  <w:vAlign w:val="center"/>
                </w:tcPr>
                <w:p>
                  <w:pPr>
                    <w:keepNext w:val="0"/>
                    <w:keepLines w:val="0"/>
                    <w:widowControl/>
                    <w:suppressLineNumbers w:val="0"/>
                    <w:spacing w:before="0" w:beforeAutospacing="0" w:after="0" w:afterAutospacing="0"/>
                    <w:ind w:left="0" w:right="0"/>
                    <w:jc w:val="center"/>
                  </w:pPr>
                  <w:bookmarkStart w:id="0" w:name="_GoBack"/>
                  <w:r>
                    <w:rPr>
                      <w:rFonts w:ascii="宋体" w:hAnsi="宋体" w:eastAsia="宋体" w:cs="宋体"/>
                      <w:kern w:val="0"/>
                      <w:sz w:val="24"/>
                      <w:szCs w:val="24"/>
                      <w:bdr w:val="none" w:color="auto" w:sz="0" w:space="0"/>
                      <w:lang w:val="en-US" w:eastAsia="zh-CN" w:bidi="ar"/>
                    </w:rPr>
                    <w:t>美术学院2023年美术领域（135107）全日制硕士研究生第一志愿拟录取名单公示</w:t>
                  </w:r>
                  <w:bookmarkEnd w:id="0"/>
                </w:p>
              </w:tc>
            </w:tr>
          </w:tbl>
          <w:p>
            <w:pPr>
              <w:rPr>
                <w:vanish/>
                <w:sz w:val="24"/>
                <w:szCs w:val="24"/>
              </w:rPr>
            </w:pPr>
          </w:p>
          <w:tbl>
            <w:tblPr>
              <w:tblW w:w="4900"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1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50" w:hRule="atLeast"/>
                <w:tblCellSpacing w:w="0" w:type="dxa"/>
                <w:jc w:val="center"/>
              </w:trPr>
              <w:tc>
                <w:tcPr>
                  <w:tcW w:w="0" w:type="auto"/>
                  <w:tcBorders>
                    <w:top w:val="nil"/>
                    <w:left w:val="nil"/>
                    <w:bottom w:val="nil"/>
                    <w:right w:val="nil"/>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666666"/>
                      <w:kern w:val="0"/>
                      <w:sz w:val="24"/>
                      <w:szCs w:val="24"/>
                      <w:bdr w:val="none" w:color="auto" w:sz="0" w:space="0"/>
                      <w:lang w:val="en-US" w:eastAsia="zh-CN" w:bidi="ar"/>
                    </w:rPr>
                    <w:t>　发布时间：2023-03-31 18:12:15　点击数：1311</w:t>
                  </w:r>
                </w:p>
              </w:tc>
            </w:tr>
          </w:tbl>
          <w:p>
            <w:pPr>
              <w:rPr>
                <w:vanish/>
                <w:sz w:val="24"/>
                <w:szCs w:val="24"/>
              </w:rPr>
            </w:pPr>
          </w:p>
          <w:tbl>
            <w:tblPr>
              <w:tblW w:w="4900"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1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0" w:hRule="atLeast"/>
                <w:tblCellSpacing w:w="0" w:type="dxa"/>
                <w:jc w:val="center"/>
              </w:trPr>
              <w:tc>
                <w:tcPr>
                  <w:tcW w:w="0" w:type="auto"/>
                  <w:tcBorders>
                    <w:top w:val="nil"/>
                    <w:left w:val="nil"/>
                    <w:bottom w:val="nil"/>
                    <w:right w:val="nil"/>
                  </w:tcBorders>
                  <w:shd w:val="clear"/>
                  <w:vAlign w:val="center"/>
                </w:tcPr>
                <w:p>
                  <w:pPr>
                    <w:rPr>
                      <w:rFonts w:hint="eastAsia" w:ascii="宋体"/>
                      <w:sz w:val="24"/>
                      <w:szCs w:val="24"/>
                    </w:rPr>
                  </w:pPr>
                </w:p>
              </w:tc>
            </w:tr>
          </w:tbl>
          <w:p>
            <w:pPr>
              <w:rPr>
                <w:vanish/>
                <w:sz w:val="24"/>
                <w:szCs w:val="24"/>
              </w:rPr>
            </w:pPr>
          </w:p>
          <w:tbl>
            <w:tblPr>
              <w:tblW w:w="4900"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1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1" w:hRule="atLeast"/>
                <w:tblCellSpacing w:w="0" w:type="dxa"/>
                <w:jc w:val="center"/>
              </w:trPr>
              <w:tc>
                <w:tcPr>
                  <w:tcW w:w="0" w:type="auto"/>
                  <w:tcBorders>
                    <w:top w:val="nil"/>
                    <w:left w:val="nil"/>
                    <w:bottom w:val="nil"/>
                    <w:right w:val="nil"/>
                  </w:tcBorders>
                  <w:shd w:val="clear" w:color="auto" w:fill="999999"/>
                  <w:vAlign w:val="center"/>
                </w:tcPr>
                <w:p>
                  <w:pPr>
                    <w:rPr>
                      <w:rFonts w:hint="eastAsia" w:ascii="宋体"/>
                      <w:sz w:val="24"/>
                      <w:szCs w:val="24"/>
                    </w:rPr>
                  </w:pPr>
                </w:p>
              </w:tc>
            </w:tr>
          </w:tbl>
          <w:p>
            <w:pPr>
              <w:rPr>
                <w:vanish/>
                <w:sz w:val="24"/>
                <w:szCs w:val="24"/>
              </w:rPr>
            </w:pPr>
          </w:p>
          <w:tbl>
            <w:tblPr>
              <w:tblW w:w="4900"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1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1" w:hRule="atLeast"/>
                <w:tblCellSpacing w:w="0" w:type="dxa"/>
                <w:jc w:val="center"/>
              </w:trPr>
              <w:tc>
                <w:tcPr>
                  <w:tcW w:w="0" w:type="auto"/>
                  <w:tcBorders>
                    <w:top w:val="nil"/>
                    <w:left w:val="nil"/>
                    <w:bottom w:val="nil"/>
                    <w:right w:val="nil"/>
                  </w:tcBorders>
                  <w:shd w:val="clear"/>
                  <w:vAlign w:val="center"/>
                </w:tcPr>
                <w:p>
                  <w:pPr>
                    <w:rPr>
                      <w:rFonts w:hint="eastAsia" w:ascii="宋体"/>
                      <w:sz w:val="24"/>
                      <w:szCs w:val="24"/>
                    </w:rPr>
                  </w:pPr>
                </w:p>
              </w:tc>
            </w:tr>
          </w:tbl>
          <w:p>
            <w:pPr>
              <w:spacing w:before="0" w:beforeAutospacing="0" w:after="0" w:afterAutospacing="0"/>
              <w:ind w:left="0" w:right="0"/>
              <w:rPr>
                <w:rFonts w:ascii="微软雅黑" w:hAnsi="微软雅黑" w:eastAsia="微软雅黑" w:cs="微软雅黑"/>
                <w:b/>
                <w:bCs/>
                <w:i w:val="0"/>
                <w:iCs w:val="0"/>
                <w:caps w:val="0"/>
                <w:color w:val="333333"/>
                <w:spacing w:val="0"/>
                <w:sz w:val="12"/>
                <w:szCs w:val="12"/>
              </w:rPr>
            </w:pPr>
          </w:p>
        </w:tc>
      </w:tr>
    </w:tbl>
    <w:p>
      <w:pPr>
        <w:rPr>
          <w:vanish/>
          <w:sz w:val="24"/>
          <w:szCs w:val="24"/>
        </w:rPr>
      </w:pPr>
    </w:p>
    <w:tbl>
      <w:tblPr>
        <w:tblW w:w="4750" w:type="pct"/>
        <w:jc w:val="center"/>
        <w:tblCellSpacing w:w="3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0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951" w:hRule="atLeast"/>
          <w:tblCellSpacing w:w="37" w:type="dxa"/>
          <w:jc w:val="center"/>
        </w:trPr>
        <w:tc>
          <w:tcPr>
            <w:tcW w:w="0" w:type="auto"/>
            <w:tcBorders>
              <w:top w:val="nil"/>
              <w:left w:val="nil"/>
              <w:bottom w:val="nil"/>
              <w:right w:val="nil"/>
            </w:tcBorders>
            <w:shd w:val="clear" w:color="auto" w:fill="FFFFFF"/>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rPr>
                <w:b w:val="0"/>
                <w:bCs w:val="0"/>
              </w:rPr>
            </w:pPr>
            <w:r>
              <w:rPr>
                <w:rFonts w:ascii="仿宋_GB2312" w:hAnsi="仿宋_GB2312" w:eastAsia="仿宋_GB2312" w:cs="仿宋_GB2312"/>
                <w:b w:val="0"/>
                <w:bCs w:val="0"/>
                <w:i w:val="0"/>
                <w:iCs w:val="0"/>
                <w:caps w:val="0"/>
                <w:color w:val="333333"/>
                <w:spacing w:val="0"/>
                <w:sz w:val="19"/>
                <w:szCs w:val="19"/>
                <w:bdr w:val="none" w:color="auto" w:sz="0" w:space="0"/>
              </w:rPr>
              <w:t>根据教育部《关于印发</w:t>
            </w:r>
            <w:r>
              <w:rPr>
                <w:rFonts w:hint="default" w:ascii="仿宋_GB2312" w:hAnsi="仿宋_GB2312" w:eastAsia="仿宋_GB2312" w:cs="仿宋_GB2312"/>
                <w:b w:val="0"/>
                <w:bCs w:val="0"/>
                <w:i w:val="0"/>
                <w:iCs w:val="0"/>
                <w:caps w:val="0"/>
                <w:color w:val="333333"/>
                <w:spacing w:val="0"/>
                <w:sz w:val="19"/>
                <w:szCs w:val="19"/>
                <w:bdr w:val="none" w:color="auto" w:sz="0" w:space="0"/>
              </w:rPr>
              <w:t>&lt;2023年全国硕士研究生招生工作管理规定&gt;的通知》（教学〔2022〕3号）、《关于做好2023年全国硕士研究生复试录取工作的通知》（教学司〔2023〕3号）和安徽省高等学校招生委员会 安徽省教育厅《关于做好安徽省2023年硕士研究生复试录取工作的通知》（皖招委〔2023〕4号）等文件精神，按照安徽省2023年硕士研究生招生录取工作会议要求、阜阳师范大学美术学院2023年硕士研究生复试录取工作方案,现将我院2023年美术领域（135107）第一志愿全日制硕士研究生拟录取名单公示如下：</w:t>
            </w:r>
          </w:p>
          <w:tbl>
            <w:tblPr>
              <w:tblW w:w="0" w:type="auto"/>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70"/>
              <w:gridCol w:w="1250"/>
              <w:gridCol w:w="580"/>
              <w:gridCol w:w="1290"/>
              <w:gridCol w:w="730"/>
              <w:gridCol w:w="760"/>
              <w:gridCol w:w="6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0" w:hRule="atLeast"/>
                <w:tblCellSpacing w:w="0" w:type="dxa"/>
                <w:jc w:val="center"/>
              </w:trPr>
              <w:tc>
                <w:tcPr>
                  <w:tcW w:w="47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rPr>
                      <w:b w:val="0"/>
                      <w:bCs w:val="0"/>
                    </w:rPr>
                  </w:pPr>
                  <w:r>
                    <w:rPr>
                      <w:rStyle w:val="5"/>
                      <w:rFonts w:hint="default" w:ascii="仿宋_GB2312" w:hAnsi="仿宋_GB2312" w:eastAsia="仿宋_GB2312" w:cs="仿宋_GB2312"/>
                      <w:b/>
                      <w:bCs/>
                      <w:sz w:val="14"/>
                      <w:szCs w:val="14"/>
                      <w:bdr w:val="none" w:color="auto" w:sz="0" w:space="0"/>
                    </w:rPr>
                    <w:t>序号</w:t>
                  </w:r>
                </w:p>
              </w:tc>
              <w:tc>
                <w:tcPr>
                  <w:tcW w:w="125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rPr>
                      <w:b w:val="0"/>
                      <w:bCs w:val="0"/>
                    </w:rPr>
                  </w:pPr>
                  <w:r>
                    <w:rPr>
                      <w:rStyle w:val="5"/>
                      <w:rFonts w:hint="default" w:ascii="仿宋_GB2312" w:hAnsi="仿宋_GB2312" w:eastAsia="仿宋_GB2312" w:cs="仿宋_GB2312"/>
                      <w:b/>
                      <w:bCs/>
                      <w:sz w:val="14"/>
                      <w:szCs w:val="14"/>
                      <w:bdr w:val="none" w:color="auto" w:sz="0" w:space="0"/>
                    </w:rPr>
                    <w:t>考生编号</w:t>
                  </w:r>
                </w:p>
              </w:tc>
              <w:tc>
                <w:tcPr>
                  <w:tcW w:w="58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rPr>
                      <w:b w:val="0"/>
                      <w:bCs w:val="0"/>
                    </w:rPr>
                  </w:pPr>
                  <w:r>
                    <w:rPr>
                      <w:rStyle w:val="5"/>
                      <w:rFonts w:hint="default" w:ascii="仿宋_GB2312" w:hAnsi="仿宋_GB2312" w:eastAsia="仿宋_GB2312" w:cs="仿宋_GB2312"/>
                      <w:b/>
                      <w:bCs/>
                      <w:sz w:val="14"/>
                      <w:szCs w:val="14"/>
                      <w:bdr w:val="none" w:color="auto" w:sz="0" w:space="0"/>
                    </w:rPr>
                    <w:t>姓名</w:t>
                  </w:r>
                </w:p>
              </w:tc>
              <w:tc>
                <w:tcPr>
                  <w:tcW w:w="129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rPr>
                      <w:b w:val="0"/>
                      <w:bCs w:val="0"/>
                    </w:rPr>
                  </w:pPr>
                  <w:r>
                    <w:rPr>
                      <w:rStyle w:val="5"/>
                      <w:rFonts w:hint="default" w:ascii="仿宋_GB2312" w:hAnsi="仿宋_GB2312" w:eastAsia="仿宋_GB2312" w:cs="仿宋_GB2312"/>
                      <w:b/>
                      <w:bCs/>
                      <w:sz w:val="14"/>
                      <w:szCs w:val="14"/>
                      <w:bdr w:val="none" w:color="auto" w:sz="0" w:space="0"/>
                    </w:rPr>
                    <w:t>拟录取专业</w:t>
                  </w:r>
                </w:p>
              </w:tc>
              <w:tc>
                <w:tcPr>
                  <w:tcW w:w="7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rPr>
                      <w:b w:val="0"/>
                      <w:bCs w:val="0"/>
                    </w:rPr>
                  </w:pPr>
                  <w:r>
                    <w:rPr>
                      <w:rStyle w:val="5"/>
                      <w:rFonts w:hint="default" w:ascii="仿宋_GB2312" w:hAnsi="仿宋_GB2312" w:eastAsia="仿宋_GB2312" w:cs="仿宋_GB2312"/>
                      <w:b/>
                      <w:bCs/>
                      <w:sz w:val="14"/>
                      <w:szCs w:val="14"/>
                      <w:bdr w:val="none" w:color="auto" w:sz="0" w:space="0"/>
                    </w:rPr>
                    <w:t>初试总分</w:t>
                  </w:r>
                </w:p>
              </w:tc>
              <w:tc>
                <w:tcPr>
                  <w:tcW w:w="76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rPr>
                      <w:b w:val="0"/>
                      <w:bCs w:val="0"/>
                    </w:rPr>
                  </w:pPr>
                  <w:r>
                    <w:rPr>
                      <w:rStyle w:val="5"/>
                      <w:rFonts w:hint="default" w:ascii="仿宋_GB2312" w:hAnsi="仿宋_GB2312" w:eastAsia="仿宋_GB2312" w:cs="仿宋_GB2312"/>
                      <w:b/>
                      <w:bCs/>
                      <w:sz w:val="14"/>
                      <w:szCs w:val="14"/>
                      <w:bdr w:val="none" w:color="auto" w:sz="0" w:space="0"/>
                    </w:rPr>
                    <w:t>复试成绩</w:t>
                  </w:r>
                </w:p>
              </w:tc>
              <w:tc>
                <w:tcPr>
                  <w:tcW w:w="6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rPr>
                      <w:b w:val="0"/>
                      <w:bCs w:val="0"/>
                    </w:rPr>
                  </w:pPr>
                  <w:r>
                    <w:rPr>
                      <w:rStyle w:val="5"/>
                      <w:rFonts w:hint="default" w:ascii="仿宋_GB2312" w:hAnsi="仿宋_GB2312" w:eastAsia="仿宋_GB2312" w:cs="仿宋_GB2312"/>
                      <w:b/>
                      <w:bCs/>
                      <w:sz w:val="14"/>
                      <w:szCs w:val="14"/>
                      <w:bdr w:val="none" w:color="auto" w:sz="0" w:space="0"/>
                    </w:rPr>
                    <w:t>总成绩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blCellSpacing w:w="0" w:type="dxa"/>
                <w:jc w:val="center"/>
              </w:trPr>
              <w:tc>
                <w:tcPr>
                  <w:tcW w:w="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default" w:ascii="仿宋_GB2312" w:hAnsi="仿宋_GB2312" w:eastAsia="仿宋_GB2312" w:cs="仿宋_GB2312"/>
                      <w:b w:val="0"/>
                      <w:bCs w:val="0"/>
                      <w:i w:val="0"/>
                      <w:iCs w:val="0"/>
                      <w:color w:val="000000"/>
                      <w:sz w:val="14"/>
                      <w:szCs w:val="14"/>
                      <w:bdr w:val="none" w:color="auto" w:sz="0" w:space="0"/>
                    </w:rPr>
                    <w:t>1</w:t>
                  </w:r>
                </w:p>
              </w:tc>
              <w:tc>
                <w:tcPr>
                  <w:tcW w:w="12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default" w:ascii="仿宋_GB2312" w:hAnsi="仿宋_GB2312" w:eastAsia="仿宋_GB2312" w:cs="仿宋_GB2312"/>
                      <w:b w:val="0"/>
                      <w:bCs w:val="0"/>
                      <w:i w:val="0"/>
                      <w:iCs w:val="0"/>
                      <w:color w:val="000000"/>
                      <w:sz w:val="14"/>
                      <w:szCs w:val="14"/>
                      <w:bdr w:val="none" w:color="auto" w:sz="0" w:space="0"/>
                    </w:rPr>
                    <w:t>103713214702240</w:t>
                  </w:r>
                </w:p>
              </w:tc>
              <w:tc>
                <w:tcPr>
                  <w:tcW w:w="5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default" w:ascii="仿宋_GB2312" w:hAnsi="仿宋_GB2312" w:eastAsia="仿宋_GB2312" w:cs="仿宋_GB2312"/>
                      <w:b w:val="0"/>
                      <w:bCs w:val="0"/>
                      <w:i w:val="0"/>
                      <w:iCs w:val="0"/>
                      <w:color w:val="000000"/>
                      <w:sz w:val="14"/>
                      <w:szCs w:val="14"/>
                      <w:bdr w:val="none" w:color="auto" w:sz="0" w:space="0"/>
                    </w:rPr>
                    <w:t>张  杰</w:t>
                  </w:r>
                </w:p>
              </w:tc>
              <w:tc>
                <w:tcPr>
                  <w:tcW w:w="12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default" w:ascii="仿宋_GB2312" w:hAnsi="仿宋_GB2312" w:eastAsia="仿宋_GB2312" w:cs="仿宋_GB2312"/>
                      <w:b w:val="0"/>
                      <w:bCs w:val="0"/>
                      <w:i w:val="0"/>
                      <w:iCs w:val="0"/>
                      <w:color w:val="000000"/>
                      <w:sz w:val="14"/>
                      <w:szCs w:val="14"/>
                      <w:bdr w:val="none" w:color="auto" w:sz="0" w:space="0"/>
                    </w:rPr>
                    <w:t>西方绘画艺术研究</w:t>
                  </w:r>
                </w:p>
              </w:tc>
              <w:tc>
                <w:tcPr>
                  <w:tcW w:w="7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eastAsia" w:ascii="宋体" w:hAnsi="宋体" w:eastAsia="宋体" w:cs="宋体"/>
                      <w:b w:val="0"/>
                      <w:bCs w:val="0"/>
                      <w:color w:val="000000"/>
                      <w:sz w:val="15"/>
                      <w:szCs w:val="15"/>
                      <w:bdr w:val="none" w:color="auto" w:sz="0" w:space="0"/>
                    </w:rPr>
                    <w:t>412</w:t>
                  </w:r>
                </w:p>
              </w:tc>
              <w:tc>
                <w:tcPr>
                  <w:tcW w:w="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eastAsia" w:ascii="宋体" w:hAnsi="宋体" w:eastAsia="宋体" w:cs="宋体"/>
                      <w:b w:val="0"/>
                      <w:bCs w:val="0"/>
                      <w:color w:val="000000"/>
                      <w:sz w:val="15"/>
                      <w:szCs w:val="15"/>
                      <w:bdr w:val="none" w:color="auto" w:sz="0" w:space="0"/>
                    </w:rPr>
                    <w:t>87.76</w:t>
                  </w:r>
                </w:p>
              </w:tc>
              <w:tc>
                <w:tcPr>
                  <w:tcW w:w="6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Style w:val="5"/>
                      <w:rFonts w:hint="eastAsia" w:ascii="宋体" w:hAnsi="宋体" w:eastAsia="宋体" w:cs="宋体"/>
                      <w:color w:val="000000"/>
                      <w:sz w:val="12"/>
                      <w:szCs w:val="12"/>
                      <w:bdr w:val="none" w:color="auto" w:sz="0" w:space="0"/>
                    </w:rPr>
                    <w:t>84.544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blCellSpacing w:w="0" w:type="dxa"/>
                <w:jc w:val="center"/>
              </w:trPr>
              <w:tc>
                <w:tcPr>
                  <w:tcW w:w="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default" w:ascii="仿宋_GB2312" w:hAnsi="仿宋_GB2312" w:eastAsia="仿宋_GB2312" w:cs="仿宋_GB2312"/>
                      <w:b w:val="0"/>
                      <w:bCs w:val="0"/>
                      <w:i w:val="0"/>
                      <w:iCs w:val="0"/>
                      <w:color w:val="000000"/>
                      <w:sz w:val="14"/>
                      <w:szCs w:val="14"/>
                      <w:bdr w:val="none" w:color="auto" w:sz="0" w:space="0"/>
                    </w:rPr>
                    <w:t>2</w:t>
                  </w:r>
                </w:p>
              </w:tc>
              <w:tc>
                <w:tcPr>
                  <w:tcW w:w="12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default" w:ascii="仿宋_GB2312" w:hAnsi="仿宋_GB2312" w:eastAsia="仿宋_GB2312" w:cs="仿宋_GB2312"/>
                      <w:b w:val="0"/>
                      <w:bCs w:val="0"/>
                      <w:i w:val="0"/>
                      <w:iCs w:val="0"/>
                      <w:color w:val="000000"/>
                      <w:sz w:val="14"/>
                      <w:szCs w:val="14"/>
                      <w:bdr w:val="none" w:color="auto" w:sz="0" w:space="0"/>
                    </w:rPr>
                    <w:t>103713214702258</w:t>
                  </w:r>
                </w:p>
              </w:tc>
              <w:tc>
                <w:tcPr>
                  <w:tcW w:w="5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default" w:ascii="仿宋_GB2312" w:hAnsi="仿宋_GB2312" w:eastAsia="仿宋_GB2312" w:cs="仿宋_GB2312"/>
                      <w:b w:val="0"/>
                      <w:bCs w:val="0"/>
                      <w:i w:val="0"/>
                      <w:iCs w:val="0"/>
                      <w:color w:val="000000"/>
                      <w:sz w:val="14"/>
                      <w:szCs w:val="14"/>
                      <w:bdr w:val="none" w:color="auto" w:sz="0" w:space="0"/>
                    </w:rPr>
                    <w:t>何雨晨</w:t>
                  </w:r>
                </w:p>
              </w:tc>
              <w:tc>
                <w:tcPr>
                  <w:tcW w:w="12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default" w:ascii="仿宋_GB2312" w:hAnsi="仿宋_GB2312" w:eastAsia="仿宋_GB2312" w:cs="仿宋_GB2312"/>
                      <w:b w:val="0"/>
                      <w:bCs w:val="0"/>
                      <w:i w:val="0"/>
                      <w:iCs w:val="0"/>
                      <w:color w:val="000000"/>
                      <w:sz w:val="14"/>
                      <w:szCs w:val="14"/>
                      <w:bdr w:val="none" w:color="auto" w:sz="0" w:space="0"/>
                    </w:rPr>
                    <w:t>中国画艺术研究</w:t>
                  </w:r>
                </w:p>
              </w:tc>
              <w:tc>
                <w:tcPr>
                  <w:tcW w:w="7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eastAsia" w:ascii="宋体" w:hAnsi="宋体" w:eastAsia="宋体" w:cs="宋体"/>
                      <w:b w:val="0"/>
                      <w:bCs w:val="0"/>
                      <w:color w:val="000000"/>
                      <w:sz w:val="15"/>
                      <w:szCs w:val="15"/>
                      <w:bdr w:val="none" w:color="auto" w:sz="0" w:space="0"/>
                    </w:rPr>
                    <w:t>396</w:t>
                  </w:r>
                </w:p>
              </w:tc>
              <w:tc>
                <w:tcPr>
                  <w:tcW w:w="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eastAsia" w:ascii="宋体" w:hAnsi="宋体" w:eastAsia="宋体" w:cs="宋体"/>
                      <w:b w:val="0"/>
                      <w:bCs w:val="0"/>
                      <w:color w:val="000000"/>
                      <w:sz w:val="15"/>
                      <w:szCs w:val="15"/>
                      <w:bdr w:val="none" w:color="auto" w:sz="0" w:space="0"/>
                    </w:rPr>
                    <w:t>84.20</w:t>
                  </w:r>
                </w:p>
              </w:tc>
              <w:tc>
                <w:tcPr>
                  <w:tcW w:w="6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Style w:val="5"/>
                      <w:rFonts w:hint="eastAsia" w:ascii="宋体" w:hAnsi="宋体" w:eastAsia="宋体" w:cs="宋体"/>
                      <w:color w:val="000000"/>
                      <w:sz w:val="12"/>
                      <w:szCs w:val="12"/>
                      <w:bdr w:val="none" w:color="auto" w:sz="0" w:space="0"/>
                    </w:rPr>
                    <w:t>81.200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blCellSpacing w:w="0" w:type="dxa"/>
                <w:jc w:val="center"/>
              </w:trPr>
              <w:tc>
                <w:tcPr>
                  <w:tcW w:w="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default" w:ascii="仿宋_GB2312" w:hAnsi="仿宋_GB2312" w:eastAsia="仿宋_GB2312" w:cs="仿宋_GB2312"/>
                      <w:b w:val="0"/>
                      <w:bCs w:val="0"/>
                      <w:i w:val="0"/>
                      <w:iCs w:val="0"/>
                      <w:color w:val="000000"/>
                      <w:sz w:val="14"/>
                      <w:szCs w:val="14"/>
                      <w:bdr w:val="none" w:color="auto" w:sz="0" w:space="0"/>
                    </w:rPr>
                    <w:t>3</w:t>
                  </w:r>
                </w:p>
              </w:tc>
              <w:tc>
                <w:tcPr>
                  <w:tcW w:w="12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default" w:ascii="仿宋_GB2312" w:hAnsi="仿宋_GB2312" w:eastAsia="仿宋_GB2312" w:cs="仿宋_GB2312"/>
                      <w:b w:val="0"/>
                      <w:bCs w:val="0"/>
                      <w:i w:val="0"/>
                      <w:iCs w:val="0"/>
                      <w:color w:val="000000"/>
                      <w:sz w:val="14"/>
                      <w:szCs w:val="14"/>
                      <w:bdr w:val="none" w:color="auto" w:sz="0" w:space="0"/>
                    </w:rPr>
                    <w:t>103713214702259</w:t>
                  </w:r>
                </w:p>
              </w:tc>
              <w:tc>
                <w:tcPr>
                  <w:tcW w:w="5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default" w:ascii="仿宋_GB2312" w:hAnsi="仿宋_GB2312" w:eastAsia="仿宋_GB2312" w:cs="仿宋_GB2312"/>
                      <w:b w:val="0"/>
                      <w:bCs w:val="0"/>
                      <w:i w:val="0"/>
                      <w:iCs w:val="0"/>
                      <w:color w:val="000000"/>
                      <w:sz w:val="14"/>
                      <w:szCs w:val="14"/>
                      <w:bdr w:val="none" w:color="auto" w:sz="0" w:space="0"/>
                    </w:rPr>
                    <w:t>冯凯悦</w:t>
                  </w:r>
                </w:p>
              </w:tc>
              <w:tc>
                <w:tcPr>
                  <w:tcW w:w="12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default" w:ascii="仿宋_GB2312" w:hAnsi="仿宋_GB2312" w:eastAsia="仿宋_GB2312" w:cs="仿宋_GB2312"/>
                      <w:b w:val="0"/>
                      <w:bCs w:val="0"/>
                      <w:i w:val="0"/>
                      <w:iCs w:val="0"/>
                      <w:color w:val="000000"/>
                      <w:sz w:val="14"/>
                      <w:szCs w:val="14"/>
                      <w:bdr w:val="none" w:color="auto" w:sz="0" w:space="0"/>
                    </w:rPr>
                    <w:t>公共艺术研究</w:t>
                  </w:r>
                </w:p>
              </w:tc>
              <w:tc>
                <w:tcPr>
                  <w:tcW w:w="7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eastAsia" w:ascii="宋体" w:hAnsi="宋体" w:eastAsia="宋体" w:cs="宋体"/>
                      <w:b w:val="0"/>
                      <w:bCs w:val="0"/>
                      <w:color w:val="000000"/>
                      <w:sz w:val="15"/>
                      <w:szCs w:val="15"/>
                      <w:bdr w:val="none" w:color="auto" w:sz="0" w:space="0"/>
                    </w:rPr>
                    <w:t>363</w:t>
                  </w:r>
                </w:p>
              </w:tc>
              <w:tc>
                <w:tcPr>
                  <w:tcW w:w="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Fonts w:hint="eastAsia" w:ascii="宋体" w:hAnsi="宋体" w:eastAsia="宋体" w:cs="宋体"/>
                      <w:b w:val="0"/>
                      <w:bCs w:val="0"/>
                      <w:color w:val="000000"/>
                      <w:sz w:val="15"/>
                      <w:szCs w:val="15"/>
                      <w:bdr w:val="none" w:color="auto" w:sz="0" w:space="0"/>
                    </w:rPr>
                    <w:t>80.60</w:t>
                  </w:r>
                </w:p>
              </w:tc>
              <w:tc>
                <w:tcPr>
                  <w:tcW w:w="6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b w:val="0"/>
                      <w:bCs w:val="0"/>
                    </w:rPr>
                  </w:pPr>
                  <w:r>
                    <w:rPr>
                      <w:rStyle w:val="5"/>
                      <w:rFonts w:hint="eastAsia" w:ascii="宋体" w:hAnsi="宋体" w:eastAsia="宋体" w:cs="宋体"/>
                      <w:color w:val="000000"/>
                      <w:sz w:val="12"/>
                      <w:szCs w:val="12"/>
                      <w:bdr w:val="none" w:color="auto" w:sz="0" w:space="0"/>
                    </w:rPr>
                    <w:t>75.800</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rPr>
                <w:b w:val="0"/>
                <w:bCs w:val="0"/>
              </w:rPr>
            </w:pPr>
            <w:r>
              <w:rPr>
                <w:rFonts w:hint="default" w:ascii="仿宋_GB2312" w:hAnsi="仿宋_GB2312" w:eastAsia="仿宋_GB2312" w:cs="仿宋_GB2312"/>
                <w:b w:val="0"/>
                <w:bCs w:val="0"/>
                <w:i w:val="0"/>
                <w:iCs w:val="0"/>
                <w:caps w:val="0"/>
                <w:color w:val="333333"/>
                <w:spacing w:val="0"/>
                <w:sz w:val="16"/>
                <w:szCs w:val="16"/>
                <w:bdr w:val="none" w:color="auto" w:sz="0" w:space="0"/>
              </w:rPr>
              <w:t>注：总成绩=（考生初试成绩/初试各科目总成绩)*100×60%+复试成绩×40%。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320"/>
              <w:jc w:val="center"/>
              <w:rPr>
                <w:b w:val="0"/>
                <w:bCs w:val="0"/>
              </w:rPr>
            </w:pPr>
            <w:r>
              <w:rPr>
                <w:rFonts w:hint="default" w:ascii="仿宋_GB2312" w:hAnsi="仿宋_GB2312" w:eastAsia="仿宋_GB2312" w:cs="仿宋_GB2312"/>
                <w:b w:val="0"/>
                <w:bCs w:val="0"/>
                <w:i w:val="0"/>
                <w:iCs w:val="0"/>
                <w:caps w:val="0"/>
                <w:color w:val="333333"/>
                <w:spacing w:val="0"/>
                <w:sz w:val="16"/>
                <w:szCs w:val="16"/>
                <w:bdr w:val="none" w:color="auto" w:sz="0" w:space="0"/>
              </w:rPr>
              <w:t>其中：复试成绩=专业测试×40%+综合面试×60%。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rPr>
                <w:b w:val="0"/>
                <w:bCs w:val="0"/>
              </w:rPr>
            </w:pPr>
            <w:r>
              <w:rPr>
                <w:rFonts w:hint="default" w:ascii="仿宋_GB2312" w:hAnsi="仿宋_GB2312" w:eastAsia="仿宋_GB2312" w:cs="仿宋_GB2312"/>
                <w:b w:val="0"/>
                <w:bCs w:val="0"/>
                <w:i w:val="0"/>
                <w:iCs w:val="0"/>
                <w:caps w:val="0"/>
                <w:color w:val="333333"/>
                <w:spacing w:val="0"/>
                <w:sz w:val="19"/>
                <w:szCs w:val="19"/>
                <w:bdr w:val="none" w:color="auto" w:sz="0" w:space="0"/>
              </w:rPr>
              <w:t>公示时间为03月31日至04月14日【10个工作日】。若有异议，请在公示期间实名向美术学院硕士研究生招生复试工作考核领导组反映。本名单为拟录取名单，若有放弃录取资格考生，依据参加复试考生总成绩依次递补，正式录取名单以上级招生考试部门审定的录取名单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rPr>
                <w:b w:val="0"/>
                <w:bCs w:val="0"/>
              </w:rPr>
            </w:pPr>
            <w:r>
              <w:rPr>
                <w:rFonts w:hint="default" w:ascii="仿宋_GB2312" w:hAnsi="仿宋_GB2312" w:eastAsia="仿宋_GB2312" w:cs="仿宋_GB2312"/>
                <w:b w:val="0"/>
                <w:bCs w:val="0"/>
                <w:i w:val="0"/>
                <w:iCs w:val="0"/>
                <w:caps w:val="0"/>
                <w:color w:val="333333"/>
                <w:spacing w:val="0"/>
                <w:sz w:val="19"/>
                <w:szCs w:val="19"/>
                <w:bdr w:val="none" w:color="auto" w:sz="0" w:space="0"/>
              </w:rPr>
              <w:t>学院联系电话：0558－2596362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rPr>
                <w:b w:val="0"/>
                <w:bCs w:val="0"/>
              </w:rPr>
            </w:pPr>
            <w:r>
              <w:rPr>
                <w:rFonts w:hint="default" w:ascii="仿宋_GB2312" w:hAnsi="仿宋_GB2312" w:eastAsia="仿宋_GB2312" w:cs="仿宋_GB2312"/>
                <w:b w:val="0"/>
                <w:bCs w:val="0"/>
                <w:i w:val="0"/>
                <w:iCs w:val="0"/>
                <w:caps w:val="0"/>
                <w:color w:val="333333"/>
                <w:spacing w:val="0"/>
                <w:sz w:val="19"/>
                <w:szCs w:val="19"/>
                <w:bdr w:val="none" w:color="auto" w:sz="0" w:space="0"/>
              </w:rPr>
              <w:t>督查举报电话：0558－2596174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right"/>
              <w:rPr>
                <w:b w:val="0"/>
                <w:bCs w:val="0"/>
              </w:rPr>
            </w:pPr>
            <w:r>
              <w:rPr>
                <w:rFonts w:hint="default" w:ascii="仿宋_GB2312" w:hAnsi="仿宋_GB2312" w:eastAsia="仿宋_GB2312" w:cs="仿宋_GB2312"/>
                <w:b w:val="0"/>
                <w:bCs w:val="0"/>
                <w:i w:val="0"/>
                <w:iCs w:val="0"/>
                <w:caps w:val="0"/>
                <w:color w:val="333333"/>
                <w:spacing w:val="0"/>
                <w:sz w:val="19"/>
                <w:szCs w:val="19"/>
                <w:bdr w:val="none" w:color="auto" w:sz="0" w:space="0"/>
              </w:rPr>
              <w:t>美术学院2023年硕士研究生复试考核工作领导组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right"/>
              <w:rPr>
                <w:b w:val="0"/>
                <w:bCs w:val="0"/>
              </w:rPr>
            </w:pPr>
            <w:r>
              <w:rPr>
                <w:rFonts w:hint="default" w:ascii="仿宋_GB2312" w:hAnsi="仿宋_GB2312" w:eastAsia="仿宋_GB2312" w:cs="仿宋_GB2312"/>
                <w:b w:val="0"/>
                <w:bCs w:val="0"/>
                <w:i w:val="0"/>
                <w:iCs w:val="0"/>
                <w:caps w:val="0"/>
                <w:color w:val="333333"/>
                <w:spacing w:val="0"/>
                <w:sz w:val="19"/>
                <w:szCs w:val="19"/>
                <w:bdr w:val="none" w:color="auto" w:sz="0" w:space="0"/>
              </w:rPr>
              <w:t>2023年3月31日</w:t>
            </w:r>
          </w:p>
        </w:tc>
      </w:tr>
    </w:tbl>
    <w:p>
      <w:pPr>
        <w:keepNext w:val="0"/>
        <w:keepLines w:val="0"/>
        <w:widowControl/>
        <w:suppressLineNumbers w:val="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07029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2023-05-25T06:59:57Z</dcterms:created>
  <dc:creator>Administrator</dc:creator>
  <cp:lastModifiedBy>王英</cp:lastModifiedBy>
  <dcterms:modified xsi:type="dcterms:W3CDTF">2023-05-25T07:00:07Z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84B2EE64EF9E4E51894899A316246095</vt:lpwstr>
  </property>
</Properties>
</file>