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化学与化工学院2023年硕士研究生招生调剂公告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2023年04月04日 20:11  点击：[611]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50" w:beforeAutospacing="0" w:after="5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4"/>
          <w:szCs w:val="14"/>
        </w:rPr>
        <w:pict>
          <v:rect id="_x0000_i1025" o:spt="1" style="height:1.5pt;width:432pt;" fillcolor="#666666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一、接收调剂的专业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863"/>
        <w:gridCol w:w="1400"/>
        <w:gridCol w:w="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8"/>
                <w:szCs w:val="18"/>
                <w:bdr w:val="none" w:color="auto" w:sz="0" w:space="0"/>
              </w:rPr>
              <w:t>学位类别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8"/>
                <w:szCs w:val="1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8"/>
                <w:szCs w:val="18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8"/>
                <w:szCs w:val="18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bdr w:val="none" w:color="auto" w:sz="0" w:space="0"/>
                <w:lang w:val="en-US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  <w:lang w:val="en-US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（一）基本要求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具体调剂学科专业以“全国硕士生招生调剂服务系统”（以下简称国家调剂系统）公布为准。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调入专业报考条件及复试科目详见《陕西科技大学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年硕士研究生招生目录》，链接如下：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  <w:lang w:val="en-US"/>
        </w:rPr>
        <w:instrText xml:space="preserve"> HYPERLINK "https://yjszs.sust.edu.cn/info/1015/2230.htm"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https://yjszs.sust.edu.cn/info/1015/2230.htm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（二）分数及科目要求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考生初试成绩需达到第一志愿报考专业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年国家一区复试分数线。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考生初试科目与调入专业初试科目相同或相近，其中初试全国统一命题科目应与调入专业全国统一命题科目相同。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8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  <w:lang w:val="en-US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需满足教育部有关调剂的其他要求。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具体要求参照《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陕西科技大学化学与化工学院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年硕士研究生招生复试录取实施细则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三、调剂系统开通时间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00:00- 12:00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，实际以国家调剂服务系统为准。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四、调剂复试考核方式及时间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年硕士研究生调剂复试采取现场复试，复试时间初定为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-13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日，具体安排详见学院通知。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化学与化工学院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  <w:lang w:val="en-US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32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566</Characters>
  <Lines>0</Lines>
  <Paragraphs>0</Paragraphs>
  <TotalTime>0</TotalTime>
  <ScaleCrop>false</ScaleCrop>
  <LinksUpToDate>false</LinksUpToDate>
  <CharactersWithSpaces>576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2023-05-03T08:47:41Z</dcterms:created>
  <dc:creator>Administrator</dc:creator>
  <cp:lastModifiedBy>王英</cp:lastModifiedBy>
  <dcterms:modified xsi:type="dcterms:W3CDTF">2023-05-03T08:47:54Z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70BC2901B624440A8554600B0593D69B</vt:lpwstr>
  </property>
</Properties>
</file>