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7F7F7"/>
        <w:ind w:left="0" w:firstLine="0"/>
        <w:jc w:val="center"/>
        <w:rPr>
          <w:rFonts w:ascii="微软雅黑" w:hAnsi="微软雅黑" w:eastAsia="微软雅黑" w:cs="微软雅黑"/>
          <w:i w:val="0"/>
          <w:iCs w:val="0"/>
          <w:caps w:val="0"/>
          <w:color w:val="000000"/>
          <w:spacing w:val="0"/>
          <w:sz w:val="27"/>
          <w:szCs w:val="27"/>
        </w:rPr>
      </w:pPr>
      <w:bookmarkStart w:id="0" w:name="_GoBack"/>
      <w:r>
        <w:rPr>
          <w:rFonts w:hint="eastAsia" w:ascii="微软雅黑" w:hAnsi="微软雅黑" w:eastAsia="微软雅黑" w:cs="微软雅黑"/>
          <w:i w:val="0"/>
          <w:iCs w:val="0"/>
          <w:caps w:val="0"/>
          <w:color w:val="000000"/>
          <w:spacing w:val="0"/>
          <w:sz w:val="27"/>
          <w:szCs w:val="27"/>
          <w:shd w:val="clear" w:fill="F7F7F7"/>
        </w:rPr>
        <w:t>设计与艺术学院（丝路文化与传播学院）2023年硕士研究生复试（调剂）录取实施细则</w:t>
      </w:r>
    </w:p>
    <w:bookmarkEnd w:id="0"/>
    <w:p>
      <w:pPr>
        <w:keepNext w:val="0"/>
        <w:keepLines w:val="0"/>
        <w:widowControl/>
        <w:suppressLineNumbers w:val="0"/>
        <w:shd w:val="clear" w:fill="F7F7F7"/>
        <w:ind w:left="0" w:firstLine="0"/>
        <w:jc w:val="center"/>
        <w:rPr>
          <w:rFonts w:hint="eastAsia" w:ascii="微软雅黑" w:hAnsi="微软雅黑" w:eastAsia="微软雅黑" w:cs="微软雅黑"/>
          <w:i w:val="0"/>
          <w:iCs w:val="0"/>
          <w:caps w:val="0"/>
          <w:color w:val="000000"/>
          <w:spacing w:val="0"/>
          <w:sz w:val="18"/>
          <w:szCs w:val="18"/>
        </w:rPr>
      </w:pPr>
      <w:r>
        <w:rPr>
          <w:rFonts w:hint="eastAsia" w:ascii="微软雅黑" w:hAnsi="微软雅黑" w:eastAsia="微软雅黑" w:cs="微软雅黑"/>
          <w:i w:val="0"/>
          <w:iCs w:val="0"/>
          <w:caps w:val="0"/>
          <w:color w:val="000000"/>
          <w:spacing w:val="0"/>
          <w:kern w:val="0"/>
          <w:sz w:val="18"/>
          <w:szCs w:val="18"/>
          <w:shd w:val="clear" w:fill="F7F7F7"/>
          <w:lang w:val="en-US" w:eastAsia="zh-CN" w:bidi="ar"/>
        </w:rPr>
        <w:t>2023-04-10  点击：[1385]</w:t>
      </w:r>
    </w:p>
    <w:p>
      <w:pPr>
        <w:keepNext w:val="0"/>
        <w:keepLines w:val="0"/>
        <w:widowControl/>
        <w:suppressLineNumbers w:val="0"/>
        <w:shd w:val="clear" w:fill="F7F7F7"/>
        <w:ind w:lef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18"/>
          <w:szCs w:val="18"/>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spacing w:before="0" w:beforeAutospacing="1" w:after="0" w:afterAutospacing="1" w:line="210" w:lineRule="atLeast"/>
        <w:ind w:left="0" w:righ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硕士研究生复试是研究生招生考试的重要组成部分，用于考查考生的创新能力、专业素养和综合素质等，是保证生源质量的关键环节。为使复试工作公平、公正、公开，确保优秀考生入围，根据教育部《2023年全国硕士研究生招生工作管理规定》《关于做好2023年全国硕士研究生复试录取工作的通知》《陕西省教育考试院陕西省招生委员会办公室关于做好2023年全国硕士研究生复试录取工作的通知》《陕西科技大学2023年硕士研究生复试录取工作方案》文件精神，结合校院实际，特制定设计与艺术学院2023年硕士研究生复试（调剂）录取实施细则。</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一、指导原则</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1、坚持“按需招生、全面衡量、择优录取、宁缺毋滥”的原则，在确保安全、平稳的前提下，切实提高研究生招生质量。</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2、加强组织领导，强化管理，规范程序，做好复试录取管理和考核组织工作，充分落实招生主体责任。</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3、坚持“确保安全性，确保公平性，确保科学性”的原则，科学制定复试工作方案，充分发挥复试的人才选拔作用。</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4、加强调剂工作管理，规范调剂流程，提升调剂服务水平，进一步发挥调剂制度优势。</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5、严格执行招生政策，严明招生录取纪律，加强监督管理，深入推进信息公开，确保研究生招生录取工作科学规范、公平公正。</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二、复试安排</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1、复试分数线</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（1）所有参加复试的考生，初试成绩必须达到2023年教育部规定的相关学科门类（一区）复试初试成绩的基本要求，并同时达到我院相应招生专业规定的初试成绩及其他学术要求（自划线）。</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（2）“单独考试”“退役大学生士兵计划”考生，必须达到学校规定的相应招生专业初试成绩及其他学术要求。</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2、复试名单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（1）申请调剂的考生（含一志愿调剂考生），必须符合国家及学校调剂政策，并登陆中国研究生招生信息网网上调剂系统申请参加我校复试，确认调剂系统复试通知后，方可参加我校调剂复试。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调剂系统开放时间：4月10日（周一）22:00，请申请调剂考生及时在网上调剂系统提交调剂我校复试的申请！</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（2）申请调剂考生，调剂专业应与一志愿报考专业相同或相近，两门初试业务课，必须与本院一致。学院将结合各专业调剂计划，按总成绩排名由高到低择优选定。</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（3）复试考生名单（包括考生姓名、考生编号、初试各科成绩等信息）在复试工作前，将通过学院网页对外公布。</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3、复试时间及安排</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复试时间：4月12日（周三）。</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我院2023招生调剂复试政策、复试内容、复试日程安排等在学院网页公布，请考生时刻关注学院网页通知。</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4、资格审查</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所有参加调剂复试考生必须持准考证、身份证参加复试各环节。学院将组织专人对参加复试考生的材料进行审核，资格审核未通过的考生不予组织复试。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应届生提交准考证、学生证、身份证；往届生提交准考证、毕业证（结业证）、身份证；学历（学籍）信息核验有问题的考生，提交《教育部学籍在线验证报告》及《教育部学历证书电子注册备案表》；报考“退役大学生士兵计划”的考生，提交本人《入伍批准书》和《退出现役证》；符合教育部加分政策的考生，须按要求提交相关证明材料。</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5、复试方式及要求</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（1）我院2023年硕士研究生复试（调剂），全程采用线下方式。</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（2）复试时间、地点等信息，请查看学院网页具体考试安排。</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对在复试过程中有违规行为的考生，一经查实，即按照《国家教育考试违规处理办法》《普通高等学校招生违规行为处理暂行办法》等规定严肃处理，取消复试资格，记入《考生考试诚信档案》。入学后3个月内，学校按照《普通高等学校学生管理规定》有关要求，对所有考生进行全面复查。复查不合格的，取消学籍；情节严重的，移交有关部门调查处理。</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6、复试内容及要求</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复试（调剂）考核内容包含：（1）综合面试：专业综合面试（包含思想品德、专业素质和能力、综合素质和能力等，满分为100分），外国语听力和口语测试（满分为100分）；（2）专业课笔试（满分为100分）；（3）心理健康测试等环节。</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（1）综合面试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学院将组织若干个复试专家小组（每小组7人，成员为硕士生导师，以及思政教师、外语教师等）进行面试，考核时长为20分钟。</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A、思想品德</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主要考核考生的现实表现，内容包括考生的政治态度、思想表现、道德品质、遵纪守法、诚实守信等方面，以及时事政治、社会热点等。形式为自由问答等。</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B、专业素质和能力</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大学阶段学习相关材料或课程成绩；全面考核考生对本学科（专业）理论知识和应用技能掌握程度，对本学科发展动态的了解以及在本专业领域发展的潜力；创新精神和创新能力。形式为自我介绍、自由问答等。</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C、综合素质和能力</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本学科（专业）以外的学习、科研、社会实践或实际工作表现等；责任感、纪律性（遵纪守法）、协作性、事业心和心理健康等；人文素养、举止、表达和礼仪等。形式为自我介绍、自由问答等。</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D、外国语听力和口语</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主要考核考生英语交流能力和应用能力，兼顾专业英语的相关基础知识。形式为自我介绍（英语）、自由回答等。</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（2）专业课笔试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A、全面考核考生对本学科（专业）理论知识和应用技能掌握程度，对本学科发展动态的了解以及在本专业领域发展的潜力；创新精神和创新能力等。</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B、考试科目按各学科（专业）进行，形式为闭卷笔试，时长2小时，满分为100分。考生应携带准考证、身份证等参加考试。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C、同等学力考生，按招生目录确定笔试本学科专业基础课、专业课各一门。</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（3）心理健康测试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所有考生需参加学校组织的心理测试，测试结果将作为录取的参考依据。</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（4）复试考核全程录音录像，所有复试材料（含考生电子材料）和视频资料复试结束，集中统一保管、备查。</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三、体检要求</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2023年研究生招生考试体检工作将于考生入学后进行，考生应身体健康，符合各招生专业规定的体检要求。体检标准按照《普通高等学校招生体检工作指导意见》（教学〔2003〕3号）、《教育部办公厅卫生部办公厅关于普通高校招生学生入学身体检查取消乙肝项目检测有关问题的通知》（教学厅〔2010〕2号）执行，体检不合格者取消入学资格。</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四、总成绩计算办法</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1、总成绩公式</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初试成绩占总成绩的权重为60%，复试成绩占总成绩的权重为40%。</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总成绩计算办法：总成绩=初试总成绩/5×60%＋复试总成绩×40%</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复试总成绩=复试各科专业课考核成绩之和/专业课考核科目门数×60%+（外国语听力和口语测试成绩×30%+专业综合面试成绩×70%）×40%</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2、总成绩公示</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总成绩名单将通过学院网页对外公示。</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五、录取及信息公开</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1、我院研究生复试（调剂）录取工作在学院复试工作小组的领导下进行，集体决策、严格把关。凡复试合格考生，根据复试结果，德智体美劳全面衡量，按照复试总成绩择优录取。</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2、调剂考生复试成绩合格者，按总成绩排名由高到低录取。</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3、各专业分开排名录取（各专业调剂招生计划数见附件表格）。非全日制录取考生，录取类别为定向就业。</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4、拟录取名单公布15日内，所有考生将政审表复试学院指定工作人员；定向考生必须与定向单位签订定向协议书一式三份，并交学院研究生招生办公室方可按定向录取。</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5、有以下情形之一者，不予录取、取消录取资格或入学资格：</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（1）思想品德考核不合格；</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（2）报考资格不符合招生规定；</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（3）复试考核成绩不合格（单科复试成绩有低于60分者）；</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（4）同等学力考生加试科目不合格（成绩低于60分者）；</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（5）体检不合格；</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（6）复试时未通过或未完成学历（学籍）审核的考生；</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（7）应届本科毕业生及自学考试和网络教育届时可毕业本科生，入学时未取得国家承认的本科毕业证书；</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（8）报考、复试及录取过程中存在弄虚作假行为的。</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6、拟录取名单（包括考生姓名、考生编号、初试成绩、复试成绩、总成绩等信息）在学校研究生招生信息网统一公示，公示时间为10个工作日。名单如有变动，须对变动部分做出说明，并对变动内容另行公示10个工作日。</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备注：各考生在拟录取通知发出后应在规定时间内在国家调剂系统确认，若在通知时间范围内仍未确认，则视为自动放弃拟录取资格，学院将不再为其保留录取名额。</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六、组织机构及职责</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学院成立研究生招生复试工作小组，负责统筹管理学院复试录取工作；制定并发布学院复试录取工作办法等文件规定；指导监督学院组织开展招生复试录取工作。具体成员如下：</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组长：刘和林、刘宗明</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副组长：米高峰</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成员：詹秦川、田龙过、贺雪梅、安玲、吉平、万蓬勃、周柯、关瑛</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秘书：安然</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七、其他</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1、学院后续会根据各专业招生情况及学校复试安排，对本细则做进一步细化；</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2、未尽事宜由设计与艺术学院研究生复试工作小组解释；</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3、本办法适用于设计与艺术学院2023年硕士研究生复试（调剂）录取；</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4、本办法如有与学校文件相悖之处，以学校文件为准。</w:t>
      </w:r>
    </w:p>
    <w:p>
      <w:pPr>
        <w:pStyle w:val="3"/>
        <w:keepNext w:val="0"/>
        <w:keepLines w:val="0"/>
        <w:widowControl/>
        <w:suppressLineNumbers w:val="0"/>
        <w:spacing w:line="210" w:lineRule="atLeast"/>
        <w:ind w:left="0" w:firstLine="420"/>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八、监督电话</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学院监督电话：029-86132672</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电子信箱：546309802@qq.com</w:t>
      </w:r>
    </w:p>
    <w:p>
      <w:pPr>
        <w:pStyle w:val="3"/>
        <w:keepNext w:val="0"/>
        <w:keepLines w:val="0"/>
        <w:widowControl/>
        <w:suppressLineNumbers w:val="0"/>
        <w:spacing w:line="210" w:lineRule="atLeast"/>
        <w:ind w:left="0" w:firstLine="420"/>
        <w:rPr>
          <w:sz w:val="14"/>
          <w:szCs w:val="14"/>
        </w:rPr>
      </w:pPr>
      <w:r>
        <w:rPr>
          <w:rFonts w:hint="eastAsia" w:ascii="微软雅黑" w:hAnsi="微软雅黑" w:eastAsia="微软雅黑" w:cs="微软雅黑"/>
          <w:i w:val="0"/>
          <w:iCs w:val="0"/>
          <w:caps w:val="0"/>
          <w:color w:val="000000"/>
          <w:spacing w:val="0"/>
          <w:sz w:val="14"/>
          <w:szCs w:val="14"/>
          <w:shd w:val="clear" w:fill="F7F7F7"/>
        </w:rPr>
        <w:t>通讯地址：西安市未央大学园区陕西科技大学设计与艺术学院办公室，邮编710021</w:t>
      </w:r>
    </w:p>
    <w:p>
      <w:pPr>
        <w:pStyle w:val="3"/>
        <w:keepNext w:val="0"/>
        <w:keepLines w:val="0"/>
        <w:widowControl/>
        <w:suppressLineNumbers w:val="0"/>
        <w:spacing w:line="210" w:lineRule="atLeast"/>
        <w:ind w:left="0" w:firstLine="420"/>
        <w:jc w:val="right"/>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设计与艺术学院（丝路文化与传播学院）</w:t>
      </w:r>
    </w:p>
    <w:p>
      <w:pPr>
        <w:pStyle w:val="3"/>
        <w:keepNext w:val="0"/>
        <w:keepLines w:val="0"/>
        <w:widowControl/>
        <w:suppressLineNumbers w:val="0"/>
        <w:spacing w:before="0" w:beforeAutospacing="1" w:after="0" w:afterAutospacing="1" w:line="210" w:lineRule="atLeast"/>
        <w:ind w:left="0" w:right="0" w:firstLine="420"/>
        <w:jc w:val="right"/>
        <w:rPr>
          <w:sz w:val="14"/>
          <w:szCs w:val="14"/>
        </w:rPr>
      </w:pPr>
      <w:r>
        <w:rPr>
          <w:rStyle w:val="6"/>
          <w:rFonts w:hint="eastAsia" w:ascii="微软雅黑" w:hAnsi="微软雅黑" w:eastAsia="微软雅黑" w:cs="微软雅黑"/>
          <w:i w:val="0"/>
          <w:iCs w:val="0"/>
          <w:caps w:val="0"/>
          <w:color w:val="000000"/>
          <w:spacing w:val="0"/>
          <w:sz w:val="14"/>
          <w:szCs w:val="14"/>
          <w:shd w:val="clear" w:fill="F7F7F7"/>
        </w:rPr>
        <w:t>2023年4月10日</w:t>
      </w:r>
    </w:p>
    <w:p>
      <w:pPr>
        <w:pStyle w:val="3"/>
        <w:keepNext w:val="0"/>
        <w:keepLines w:val="0"/>
        <w:widowControl/>
        <w:suppressLineNumbers w:val="0"/>
        <w:spacing w:before="0" w:beforeAutospacing="1" w:after="0" w:afterAutospacing="1" w:line="210" w:lineRule="atLeast"/>
        <w:ind w:left="0" w:right="0" w:firstLine="420"/>
        <w:jc w:val="right"/>
        <w:rPr>
          <w:sz w:val="14"/>
          <w:szCs w:val="14"/>
        </w:rPr>
      </w:pPr>
    </w:p>
    <w:p>
      <w:pPr>
        <w:pStyle w:val="3"/>
        <w:keepNext w:val="0"/>
        <w:keepLines w:val="0"/>
        <w:widowControl/>
        <w:suppressLineNumbers w:val="0"/>
        <w:spacing w:line="210" w:lineRule="atLeast"/>
        <w:ind w:left="0" w:firstLine="420"/>
        <w:jc w:val="center"/>
        <w:rPr>
          <w:sz w:val="14"/>
          <w:szCs w:val="14"/>
        </w:rPr>
      </w:pPr>
      <w:r>
        <w:rPr>
          <w:rFonts w:hint="eastAsia" w:ascii="微软雅黑" w:hAnsi="微软雅黑" w:eastAsia="微软雅黑" w:cs="微软雅黑"/>
          <w:i w:val="0"/>
          <w:iCs w:val="0"/>
          <w:caps w:val="0"/>
          <w:color w:val="000000"/>
          <w:spacing w:val="0"/>
          <w:sz w:val="14"/>
          <w:szCs w:val="14"/>
          <w:bdr w:val="single" w:color="CCCCCC" w:sz="4" w:space="0"/>
          <w:shd w:val="clear" w:fill="F7F7F7"/>
        </w:rPr>
        <w:drawing>
          <wp:inline distT="0" distB="0" distL="114300" distR="114300">
            <wp:extent cx="3067050" cy="1332230"/>
            <wp:effectExtent l="0" t="0" r="6350" b="127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3067050" cy="133223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4B40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3503</Words>
  <Characters>3630</Characters>
  <Lines>0</Lines>
  <Paragraphs>0</Paragraphs>
  <TotalTime>0</TotalTime>
  <ScaleCrop>false</ScaleCrop>
  <LinksUpToDate>false</LinksUpToDate>
  <CharactersWithSpaces>3632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2023-05-03T09:24:09Z</dcterms:created>
  <dc:creator>Administrator</dc:creator>
  <cp:lastModifiedBy>王英</cp:lastModifiedBy>
  <dcterms:modified xsi:type="dcterms:W3CDTF">2023-05-03T09:24:28Z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1A7FFEBD783D4F608F9AB9971C6418BF</vt:lpwstr>
  </property>
</Properties>
</file>