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bookmarkStart w:id="0" w:name="_GoBack"/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食品科学与工程学院（生物与医药学院）2023年硕士研究生招生调剂公告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2023/04/05 13:10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line="336" w:lineRule="atLeast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一、</w:t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接收调剂的专业</w:t>
            </w:r>
          </w:p>
          <w:tbl>
            <w:tblPr>
              <w:tblW w:w="0" w:type="auto"/>
              <w:jc w:val="center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240"/>
              <w:gridCol w:w="1240"/>
              <w:gridCol w:w="2080"/>
              <w:gridCol w:w="1240"/>
            </w:tblGrid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80" w:hRule="atLeast"/>
                <w:jc w:val="center"/>
              </w:trPr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sz w:val="28"/>
                      <w:szCs w:val="28"/>
                    </w:rPr>
                    <w:t>学位类别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sz w:val="28"/>
                      <w:szCs w:val="28"/>
                    </w:rPr>
                    <w:t>专业代码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sz w:val="28"/>
                      <w:szCs w:val="28"/>
                    </w:rPr>
                    <w:t>专业名称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sz w:val="28"/>
                      <w:szCs w:val="28"/>
                    </w:rPr>
                    <w:t>学习形式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80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28"/>
                      <w:szCs w:val="28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28"/>
                      <w:szCs w:val="28"/>
                    </w:rPr>
                    <w:t>083600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28"/>
                      <w:szCs w:val="28"/>
                    </w:rPr>
                    <w:t>生物工程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28"/>
                      <w:szCs w:val="28"/>
                    </w:rPr>
                    <w:t>全日制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40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28"/>
                      <w:szCs w:val="28"/>
                    </w:rPr>
                    <w:t>专业型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28"/>
                      <w:szCs w:val="28"/>
                    </w:rPr>
                    <w:t>095135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28"/>
                      <w:szCs w:val="28"/>
                    </w:rPr>
                    <w:t>食品加工与安全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28"/>
                      <w:szCs w:val="28"/>
                    </w:rPr>
                    <w:t>全日制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line="330" w:lineRule="atLeast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二、调剂要求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line="330" w:lineRule="atLeast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（一）基本要求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line="330" w:lineRule="atLeast"/>
              <w:ind w:left="0" w:firstLine="320"/>
              <w:jc w:val="both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1.具体调剂学科专业以“全国硕士生招生调剂服务系统”（以下简称国家调剂系统）公布为准。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line="330" w:lineRule="atLeast"/>
              <w:ind w:left="0" w:firstLine="320"/>
              <w:jc w:val="both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2.调入专业报考条件及复试科目详见《陕西科技大学2023年硕士研究生招生目录》，链接如下：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1E50A2"/>
                <w:spacing w:val="0"/>
                <w:sz w:val="28"/>
                <w:szCs w:val="28"/>
                <w:u w:val="single"/>
                <w:bdr w:val="none" w:color="auto" w:sz="0" w:space="0"/>
                <w:shd w:val="clear" w:fill="FFFFFF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1E50A2"/>
                <w:spacing w:val="0"/>
                <w:sz w:val="28"/>
                <w:szCs w:val="28"/>
                <w:u w:val="single"/>
                <w:bdr w:val="none" w:color="auto" w:sz="0" w:space="0"/>
                <w:shd w:val="clear" w:fill="FFFFFF"/>
              </w:rPr>
              <w:instrText xml:space="preserve"> HYPERLINK "https://yjszs.sust.edu.cn/info/1015/2230.htm" </w:instrTex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1E50A2"/>
                <w:spacing w:val="0"/>
                <w:sz w:val="28"/>
                <w:szCs w:val="28"/>
                <w:u w:val="single"/>
                <w:bdr w:val="none" w:color="auto" w:sz="0" w:space="0"/>
                <w:shd w:val="clear" w:fill="FFFFFF"/>
              </w:rPr>
              <w:fldChar w:fldCharType="separate"/>
            </w:r>
            <w:r>
              <w:rPr>
                <w:rStyle w:val="6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66CC"/>
                <w:spacing w:val="0"/>
                <w:sz w:val="28"/>
                <w:szCs w:val="28"/>
                <w:u w:val="single"/>
                <w:bdr w:val="none" w:color="auto" w:sz="0" w:space="0"/>
                <w:shd w:val="clear" w:fill="FFFFFF"/>
              </w:rPr>
              <w:t>https://yjszs.sust.edu.cn/info/1015/2230.htm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1E50A2"/>
                <w:spacing w:val="0"/>
                <w:sz w:val="28"/>
                <w:szCs w:val="28"/>
                <w:u w:val="single"/>
                <w:bdr w:val="none" w:color="auto" w:sz="0" w:space="0"/>
                <w:shd w:val="clear" w:fill="FFFFFF"/>
              </w:rPr>
              <w:fldChar w:fldCharType="end"/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line="330" w:lineRule="atLeast"/>
              <w:ind w:left="0" w:firstLine="320"/>
              <w:jc w:val="both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3.2023年硕士研究生调剂复试采取</w:t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现场复试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，复试细则见学院网站通知：https://sm.sust.edu.cn/info/1046/4058.htm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line="330" w:lineRule="atLeast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（二）分数及科目要求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line="330" w:lineRule="atLeast"/>
              <w:ind w:left="0" w:firstLine="320"/>
              <w:jc w:val="both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1.考生初试成绩需达到第一志愿报考专业2023年国家一区复试分数线。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line="330" w:lineRule="atLeast"/>
              <w:ind w:left="0" w:firstLine="320"/>
              <w:jc w:val="both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2.调入专业与第一志愿报考专业相同或相近，应在同一学科门类范围内。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line="330" w:lineRule="atLeast"/>
              <w:ind w:left="0" w:firstLine="320"/>
              <w:jc w:val="both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3.考生初试科目与调入专业初试科目相同或相近，其中初试全国统一命题科目应与调入专业全国统一命题科目相同。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line="330" w:lineRule="atLeast"/>
              <w:ind w:left="0" w:firstLine="320"/>
              <w:jc w:val="both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4.需满足教育部有关调剂的其他要求。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line="330" w:lineRule="atLeast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三、调剂系统开通时间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line="330" w:lineRule="atLeast"/>
              <w:ind w:left="0" w:firstLine="320"/>
              <w:jc w:val="both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2023年4月6日00:00至2023年4月6日14:00，实际以国家调剂服务系统为准。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line="330" w:lineRule="atLeast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四、调剂程序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line="330" w:lineRule="atLeast"/>
              <w:ind w:left="0" w:firstLine="320"/>
              <w:jc w:val="both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1.调剂系统开通后，考生登录并填写调剂信息。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line="330" w:lineRule="atLeast"/>
              <w:ind w:left="0" w:firstLine="320"/>
              <w:jc w:val="both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2.学院根据调剂基本要求对考生资格进行审核，综合考生学业水平择优遴选进入复试，并在调剂系统中向考生发放复试通知。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line="330" w:lineRule="atLeast"/>
              <w:ind w:left="0" w:firstLine="320"/>
              <w:jc w:val="both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3.考生接到复试通知后，应在规定时间内在研究生招生信息网点击“同意复试”，方可参加学院线下复试，具体复试安排详见学院网站后续通知。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line="330" w:lineRule="atLeast"/>
              <w:ind w:left="0" w:firstLine="320"/>
              <w:jc w:val="both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4.调剂考生录取结果以调剂考生确认待录取通知为准。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line="330" w:lineRule="atLeast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五、联系方式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line="330" w:lineRule="atLeast"/>
              <w:ind w:left="0" w:firstLine="320"/>
              <w:jc w:val="both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联系人：严老师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 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029-86132711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line="330" w:lineRule="atLeast"/>
              <w:ind w:left="0" w:firstLine="320"/>
              <w:jc w:val="both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QQ咨询群：144590711（科大食品2023年硕士招生调剂咨询群）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line="330" w:lineRule="atLeast"/>
              <w:ind w:left="0" w:firstLine="320"/>
              <w:jc w:val="both"/>
              <w:rPr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line="330" w:lineRule="atLeast"/>
              <w:ind w:left="0" w:firstLine="2720"/>
              <w:jc w:val="righ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食品科学与工程学院（生物与医药学院）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line="330" w:lineRule="atLeast"/>
              <w:ind w:left="0" w:firstLine="320"/>
              <w:jc w:val="righ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2023年4月5日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 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2267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2023-05-03T09:27:59Z</dcterms:created>
  <dc:creator>Administrator</dc:creator>
  <cp:lastModifiedBy>王英</cp:lastModifiedBy>
  <dcterms:modified xsi:type="dcterms:W3CDTF">2023-05-03T09:28:10Z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28EF3D0A575D43A8B30BD13BD2E47C37</vt:lpwstr>
  </property>
</Properties>
</file>