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</w:pBdr>
        <w:ind w:lef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集美大学美术与设计学院2023年研究生复试调剂公告</w:t>
      </w:r>
    </w:p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</w:trPr>
        <w:tc>
          <w:tcPr>
            <w:tcW w:w="0" w:type="auto"/>
            <w:shd w:val="clear"/>
            <w:vAlign w:val="top"/>
          </w:tcPr>
          <w:tbl>
            <w:tblPr>
              <w:tblW w:w="4750" w:type="pct"/>
              <w:jc w:val="center"/>
              <w:tblCellSpacing w:w="67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891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67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t>发布时间:2023-04-04　　浏览次数:1043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vAlign w:val="top"/>
          </w:tcPr>
          <w:tbl>
            <w:tblPr>
              <w:tblW w:w="4500" w:type="pct"/>
              <w:jc w:val="center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75"/>
            </w:tblGrid>
            <w:tr>
              <w:tblPrEx>
                <w:shd w:val="clear"/>
              </w:tblPrEx>
              <w:trPr>
                <w:trHeight w:val="73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tbl>
                  <w:tblPr>
                    <w:tblW w:w="5000" w:type="pct"/>
                    <w:tblCellSpacing w:w="15" w:type="dxa"/>
                    <w:tblInd w:w="0" w:type="dxa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475"/>
                  </w:tblGrid>
                  <w:tr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Ind w:w="0" w:type="dxa"/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7415"/>
                        </w:tblGrid>
                        <w:tr>
                          <w:tblPrEx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/>
                              <w:vAlign w:val="top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tbl>
                              <w:tblPr>
                                <w:tblW w:w="4800" w:type="pct"/>
                                <w:jc w:val="center"/>
                                <w:tblCellSpacing w:w="0" w:type="dxa"/>
                                <w:shd w:val="clear"/>
                                <w:tblLayout w:type="autofit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7118"/>
                              </w:tblGrid>
                              <w:tr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/>
                                    <w:vAlign w:val="top"/>
                                  </w:tcPr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一、研招网调剂系统接受调剂申请时间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ind w:left="0" w:firstLine="280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我院第一轮接受考生调剂申请的时限为研招网调剂系统开通后，即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00:00-4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00:00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报名，请有意调剂我院的考生及时填报。我院将在报名结束后（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日）对符合要求的考生发出复试通知，请接到通知的考生在研招网调剂系统及时回复。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二、调剂专业需求</w:t>
                                    </w:r>
                                  </w:p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Ind w:w="-5" w:type="dxa"/>
                                      <w:tblBorders>
                                        <w:top w:val="none" w:color="auto" w:sz="0" w:space="0"/>
                                        <w:left w:val="none" w:color="auto" w:sz="0" w:space="0"/>
                                        <w:bottom w:val="none" w:color="auto" w:sz="0" w:space="0"/>
                                        <w:right w:val="none" w:color="auto" w:sz="0" w:space="0"/>
                                        <w:insideH w:val="none" w:color="auto" w:sz="0" w:space="0"/>
                                        <w:insideV w:val="none" w:color="auto" w:sz="0" w:space="0"/>
                                      </w:tblBorders>
                                      <w:shd w:val="clear"/>
                                      <w:tblLayout w:type="autofit"/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>
                                    <w:tblGrid>
                                      <w:gridCol w:w="1140"/>
                                      <w:gridCol w:w="1140"/>
                                      <w:gridCol w:w="1140"/>
                                      <w:gridCol w:w="1140"/>
                                    </w:tblGrid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single" w:color="auto" w:sz="4" w:space="0"/>
                                            <w:left w:val="single" w:color="auto" w:sz="4" w:space="0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专业代码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single" w:color="auto" w:sz="4" w:space="0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专业名称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single" w:color="auto" w:sz="4" w:space="0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类型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single" w:color="auto" w:sz="4" w:space="0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调剂名额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single" w:color="auto" w:sz="4" w:space="0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ascii="Calibri" w:hAnsi="Calibri" w:eastAsia="Calibri" w:cs="Calibri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val="en-US"/>
                                            </w:rPr>
                                            <w:t>045113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学科教学（美术）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专业学位（非全日制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Calibri" w:hAnsi="Calibri" w:eastAsia="Calibri" w:cs="Calibri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val="en-US"/>
                                            </w:rPr>
                                            <w:t>5</w:t>
                                          </w:r>
                                        </w:p>
                                      </w:tc>
                                    </w:tr>
                                    <w:tr>
                                      <w:tblPrEx>
                                        <w:tblBorders>
                                          <w:top w:val="none" w:color="auto" w:sz="0" w:space="0"/>
                                          <w:left w:val="none" w:color="auto" w:sz="0" w:space="0"/>
                                          <w:bottom w:val="none" w:color="auto" w:sz="0" w:space="0"/>
                                          <w:right w:val="none" w:color="auto" w:sz="0" w:space="0"/>
                                          <w:insideH w:val="none" w:color="auto" w:sz="0" w:space="0"/>
                                          <w:insideV w:val="none" w:color="auto" w:sz="0" w:space="0"/>
                                        </w:tblBorders>
                                        <w:shd w:val="clear"/>
                                        <w:tblCellMar>
                                          <w:top w:w="0" w:type="dxa"/>
                                          <w:left w:w="0" w:type="dxa"/>
                                          <w:bottom w:w="0" w:type="dxa"/>
                                          <w:right w:w="0" w:type="dxa"/>
                                        </w:tblCellMar>
                                      </w:tblPrEx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single" w:color="auto" w:sz="4" w:space="0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Calibri" w:hAnsi="Calibri" w:eastAsia="Calibri" w:cs="Calibri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val="en-US"/>
                                            </w:rPr>
                                            <w:t>135108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艺术设计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eastAsia" w:ascii="宋体" w:hAnsi="宋体" w:eastAsia="宋体" w:cs="宋体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eastAsia="zh-CN"/>
                                            </w:rPr>
                                            <w:t>专业学位（非全日制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140" w:type="dxa"/>
                                          <w:tcBorders>
                                            <w:top w:val="nil"/>
                                            <w:left w:val="nil"/>
                                            <w:bottom w:val="single" w:color="auto" w:sz="4" w:space="0"/>
                                            <w:right w:val="single" w:color="auto" w:sz="4" w:space="0"/>
                                          </w:tcBorders>
                                          <w:shd w:val="clear"/>
                                          <w:tcMar>
                                            <w:left w:w="70" w:type="dxa"/>
                                            <w:right w:w="70" w:type="dxa"/>
                                          </w:tcMar>
                                          <w:vAlign w:val="top"/>
                                        </w:tcPr>
                                        <w:p>
                                          <w:pPr>
                                            <w:pStyle w:val="2"/>
                                            <w:keepNext w:val="0"/>
                                            <w:keepLines w:val="0"/>
                                            <w:widowControl/>
                                            <w:suppressLineNumbers w:val="0"/>
                                            <w:spacing w:before="0" w:beforeAutospacing="1" w:after="0" w:afterAutospacing="1" w:line="180" w:lineRule="atLeast"/>
                                            <w:jc w:val="left"/>
                                          </w:pPr>
                                          <w:r>
                                            <w:rPr>
                                              <w:rFonts w:hint="default" w:ascii="Calibri" w:hAnsi="Calibri" w:eastAsia="Calibri" w:cs="Calibri"/>
                                              <w:color w:val="000000"/>
                                              <w:sz w:val="12"/>
                                              <w:szCs w:val="12"/>
                                              <w:bdr w:val="none" w:color="auto" w:sz="0" w:space="0"/>
                                              <w:lang w:val="en-US"/>
                                            </w:rPr>
                                            <w:t>6</w:t>
                                          </w:r>
                                        </w:p>
                                      </w:tc>
                                    </w:tr>
                                  </w:tbl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三、调剂基本要求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考生初试成绩必须符合国家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区进入复试基本分数要求；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调入专业与第一志愿报考专业相同或相近，应在同一学科门类范围内；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3.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考生初试科目须与调入专业初试科目相同或相近，其中初试全国统一命题科目与调入专业全国统一命题科目相同；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4.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调剂生与第一志愿报考我校的考生持同一标准进行复试；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5.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身体健康状况符合普通高校招生体检标准；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6.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符合教育部有关调剂政策和我校具体调剂要求。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四、调剂复试时间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ind w:left="0" w:firstLine="280"/>
                                      <w:jc w:val="lef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调剂复试时间为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9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日，调剂复试的程序及办法详见《集美大学美术与设计学院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年硕士研究生复试招生录取方案》，请有意调剂我院的考生提前做好复试资格审核材料，线下复试。准备工作（详情参考《集美大学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年硕士研究生复试考生须知》）。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righ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集美大学美术与设计学院</w:t>
                                    </w:r>
                                  </w:p>
                                  <w:p>
                                    <w:pPr>
                                      <w:pStyle w:val="2"/>
                                      <w:keepNext w:val="0"/>
                                      <w:keepLines w:val="0"/>
                                      <w:widowControl/>
                                      <w:suppressLineNumbers w:val="0"/>
                                      <w:spacing w:line="210" w:lineRule="atLeast"/>
                                      <w:jc w:val="right"/>
                                    </w:pP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2023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月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hint="eastAsia" w:ascii="等线" w:hAnsi="等线" w:eastAsia="等线" w:cs="等线"/>
                                        <w:sz w:val="21"/>
                                        <w:szCs w:val="21"/>
                                      </w:rPr>
                                      <w:t>日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210" w:lineRule="atLeast"/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66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2023-05-16T06:51:01Z</dcterms:created>
  <dc:creator>86188</dc:creator>
  <cp:lastModifiedBy>随风而动</cp:lastModifiedBy>
  <dcterms:modified xsi:type="dcterms:W3CDTF">2023-05-16T06:51:03Z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