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</w:pBdr>
        <w:ind w:lef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集美大学美术与设计学院2023年研究生调剂生复试信息公告</w:t>
      </w:r>
    </w:p>
    <w:tbl>
      <w:tblPr>
        <w:tblW w:w="50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</w:trPr>
        <w:tc>
          <w:tcPr>
            <w:tcW w:w="0" w:type="auto"/>
            <w:shd w:val="clear"/>
            <w:vAlign w:val="top"/>
          </w:tcPr>
          <w:tbl>
            <w:tblPr>
              <w:tblW w:w="4750" w:type="pct"/>
              <w:jc w:val="center"/>
              <w:tblCellSpacing w:w="67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891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67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发布时间:2023-04-07　　浏览次数:457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vAlign w:val="top"/>
          </w:tcPr>
          <w:tbl>
            <w:tblPr>
              <w:tblW w:w="4500" w:type="pct"/>
              <w:jc w:val="center"/>
              <w:tblCellSpacing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560"/>
            </w:tblGrid>
            <w:tr>
              <w:tblPrEx>
                <w:shd w:val="clear"/>
              </w:tblPrEx>
              <w:trPr>
                <w:trHeight w:val="73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5000" w:type="pct"/>
                    <w:tblCellSpacing w:w="15" w:type="dxa"/>
                    <w:tblInd w:w="0" w:type="dxa"/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560"/>
                  </w:tblGrid>
                  <w:tr>
                    <w:tblPrEx>
                      <w:shd w:val="clear"/>
                    </w:tblPrEx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5000" w:type="pct"/>
                          <w:tblCellSpacing w:w="0" w:type="dxa"/>
                          <w:tblInd w:w="0" w:type="dxa"/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7500"/>
                        </w:tblGrid>
                        <w:tr>
                          <w:tblPrEx>
                            <w:shd w:val="clear"/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top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tbl>
                              <w:tblPr>
                                <w:tblW w:w="4800" w:type="pct"/>
                                <w:jc w:val="center"/>
                                <w:tblCellSpacing w:w="0" w:type="dxa"/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7500"/>
                              </w:tblGrid>
                              <w:tr>
                                <w:tblPrEx>
                                  <w:shd w:val="clear"/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为做好我院</w:t>
                                    </w:r>
                                    <w:r>
                                      <w:rPr>
                                        <w:rFonts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2023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年硕士研究生招生复试录取工作，根据《集美大学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2023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年硕士研究生招生复试录取办法》（招生办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[2023]1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号）等有关文件精神，结合我院实际情况，特制定本方案。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一、复试录取原则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德智体美劳全面衡量、按知识、能力和素质全面考核，择优录取，确保质量。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二、复试要求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除推荐免试生外，拟录取的考生均须符合国家复试分数线（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类）要求，并参加复试考核。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复试应采取差额形式，差额比例原则上控制在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1:1.5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三、报到时需携带的材料。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考生须以报考时的信息为准，将审查材料原件的扫描版通过“集美大学硕士研究生招生管理系统”上传（详见《集美大学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2023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年硕士研究生复试考生须知》），审查材料包括以下材料。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  <w:u w:val="single"/>
                                      </w:rPr>
                                      <w:t>参加复试的考生现场审核须携带的材料有：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第二代居民身份证原件及一张复印件。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初试准考证原件及一张复印件。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3. 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应届生提供注册章齐全的学生证原件及一张复印件；往届生提供毕业证书和学位证书原件及复印件。所有申请调剂的考生还应提供《教育部学籍在线验证报告》（应届生）或《教育部学历证书电子注册备案表》或《中国高等教育学历认证报告》或《教育部留学服务中心学历认证报告》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4.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在读自学考试和网络教育本科生，提供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2023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日前可毕业的相关证明材料。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．考生情况调查表（可从校招生办公室网站下载，考生档案所在单位开具，应届毕业生由本科就读学院审查开具）。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6.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《集美大学硕士研究生招生诚信复试承诺书》（可从校招生办公室网站下载，考生本人亲笔签字）。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7. 1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张近期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寸免冠彩照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注意：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以上材料按顺序用夹子装订在一起，所有复印件请使用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A4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格式并在正面右上角处注明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“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系原件复印件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+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本人签名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”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取得拟录取资格的考生应于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日前向招生学院提交体检报告和《集美大学研究生体检诚信承诺书》（体检项目要求和承诺书可从招生办公室网站下载）。体检达不到录取要求的，将取消录取资格；考生提交的体检报告存在弄虚作假行为，造成入学后无法正常学习的，将按规定予以取消学籍，责任由考生自行承担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以上材料由本学院进行资格审查，凡未按时间提交审查材料或资格审查未通过的考生，一律不予复试。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四、考生复试日程安排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．考试地点：福建省厦门市集美区集岑路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号集美大学美术与设计学院科学馆。联系人：林老师，联系电话：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0592-6180927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．复试（具体考试安排，以报到当天的通知为准）。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日（周日）上午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8:00</w:t>
                                    </w:r>
                                    <w:r>
                                      <w:rPr>
                                        <w:rFonts w:hint="eastAsia" w:ascii="微软雅黑" w:hAnsi="微软雅黑" w:eastAsia="微软雅黑" w:cs="微软雅黑"/>
                                        <w:spacing w:val="0"/>
                                        <w:sz w:val="21"/>
                                        <w:szCs w:val="21"/>
                                      </w:rPr>
                                      <w:t>前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开始入场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8:30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～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12:30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，专业基础技能考核（学院提供考试用纸、画板、花架，考试用具自备）。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日（周日）下午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14:00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开始抽签、听力考试；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15:00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开始面试，面试内容：外语听说测试、综合素质面试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五、复试形式、内容及要求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．复试形式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采用现场复试形式，第一志愿考生和调剂考生分期分批进行。其中，第一志愿复试名单详见网站公示；调剂考生按照第一志愿生源录取以后的招生指标以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1:1.5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的差额比例进行复试（遇小数点向上取整）。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．复试内容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复试内容包括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  <w:u w:val="single"/>
                                      </w:rPr>
                                      <w:t>外语口试和听力能力测试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、综合素质能力考核、专业基础和能力（技能）考核三个部分。具体安排如下：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）外语口试和听力能力测试：按抽签顺序进行，主要从考生的听力、发音、流利程度、逻辑能力等方面进行考察，考核时间约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分钟；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）综合素质能力面试：综合素质面试主要考察考生专业知识、科研潜力和综合素质（包括人文素养），按抽签顺序进行。考生首先进行自我陈述，然后随机抽取专业类知识题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题选其中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题作答，最后由复试小组成员提问，考生作答，面试时间约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分钟；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）专业基础和能力（技能）考核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①教育硕士：人物画（国画、油画、水粉水彩画、装饰绘画、素描等任选其一，表现形式不限；半开画纸，国画宣纸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尺）时间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小时。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②艺术硕士：文化创意产业管理方向为文案写作（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A4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打印纸），其他方向为专业设计（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A2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图纸，表现手法不限，电脑制图除外）时间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小时。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③设计学：专业设计（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A2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图纸，表现手法不限，电脑制图除外），时间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小时。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．复试要求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）复试成绩满分为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100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分，其中外语听说能力占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15%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（外语口试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分、外语听力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分）；综合素质能力占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25%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；专业基础和能力占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60%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；。复试成绩不及格（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60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分以下）、凡未进行资格审查或资格审查未通过的考生不予录取。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）考生总成绩（百分制）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初试成绩（折合为百分制）×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50%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＋复试成绩×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50%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。如遇总成绩相同，考生按照复试成绩高低进行排名录取。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六、调剂复试基本要求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1. 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符合我校招生简章中规定的招生专业的报考条件；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考生初试成绩必须符合国家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区进入复试基本分数要求；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3. 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调入专业与第一志愿报考专业相同或相近，应在同一学科门类范围内；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4. 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考生初试科目须与调入专业初试科目相同或相近，其中初试全国统一命题科目与调入专业全国统一命题科目相同；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5. 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身体健康状况符合普通高校招生体检标准。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七、</w:t>
                                    </w:r>
                                    <w:r>
                                      <w:rPr>
                                        <w:rFonts w:ascii="等线" w:hAnsi="等线" w:eastAsia="等线" w:cs="等线"/>
                                        <w:spacing w:val="0"/>
                                        <w:sz w:val="19"/>
                                        <w:szCs w:val="19"/>
                                      </w:rPr>
                                      <w:t>调剂专业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pacing w:val="0"/>
                                        <w:sz w:val="19"/>
                                        <w:szCs w:val="19"/>
                                      </w:rPr>
                                      <w:t>计划</w:t>
                                    </w:r>
                                  </w:p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Ind w:w="-5" w:type="dxa"/>
                                      <w:tblBorders>
                                        <w:top w:val="none" w:color="auto" w:sz="0" w:space="0"/>
                                        <w:left w:val="none" w:color="auto" w:sz="0" w:space="0"/>
                                        <w:bottom w:val="none" w:color="auto" w:sz="0" w:space="0"/>
                                        <w:right w:val="none" w:color="auto" w:sz="0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shd w:val="clear"/>
                                      <w:tblLayout w:type="autofit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</w:tblPr>
                                    <w:tblGrid>
                                      <w:gridCol w:w="1520"/>
                                      <w:gridCol w:w="1520"/>
                                      <w:gridCol w:w="1520"/>
                                      <w:gridCol w:w="1520"/>
                                    </w:tblGrid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15" w:type="dxa"/>
                                          <w:left w:w="15" w:type="dxa"/>
                                          <w:bottom w:w="15" w:type="dxa"/>
                                          <w:right w:w="15" w:type="dxa"/>
                                        </w:tblCellMar>
                                      </w:tblPrEx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single" w:color="auto" w:sz="4" w:space="0"/>
                                            <w:left w:val="single" w:color="auto" w:sz="4" w:space="0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专业代码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single" w:color="auto" w:sz="4" w:space="0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专业名称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single" w:color="auto" w:sz="4" w:space="0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类型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single" w:color="auto" w:sz="4" w:space="0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调剂名额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15" w:type="dxa"/>
                                          <w:left w:w="15" w:type="dxa"/>
                                          <w:bottom w:w="15" w:type="dxa"/>
                                          <w:right w:w="15" w:type="dxa"/>
                                        </w:tblCellMar>
                                      </w:tblPrEx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nil"/>
                                            <w:left w:val="single" w:color="auto" w:sz="4" w:space="0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Calibri" w:hAnsi="Calibri" w:eastAsia="Calibri" w:cs="Calibri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045113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学科教学（美术）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专业学位（非全日制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Calibri" w:hAnsi="Calibri" w:eastAsia="Calibri" w:cs="Calibri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5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15" w:type="dxa"/>
                                          <w:left w:w="15" w:type="dxa"/>
                                          <w:bottom w:w="15" w:type="dxa"/>
                                          <w:right w:w="15" w:type="dxa"/>
                                        </w:tblCellMar>
                                      </w:tblPrEx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nil"/>
                                            <w:left w:val="single" w:color="auto" w:sz="4" w:space="0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Calibri" w:hAnsi="Calibri" w:eastAsia="Calibri" w:cs="Calibri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135108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艺术设计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专业学位（非全日制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2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top w:w="0" w:type="dxa"/>
                                            <w:left w:w="90" w:type="dxa"/>
                                            <w:bottom w:w="0" w:type="dxa"/>
                                            <w:right w:w="9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70" w:beforeAutospacing="0" w:after="70" w:afterAutospacing="0" w:line="240" w:lineRule="atLeast"/>
                                            <w:ind w:left="0" w:right="0"/>
                                            <w:rPr>
                                              <w:rFonts w:hint="default" w:ascii="Calibri" w:hAnsi="Calibri" w:eastAsia="Calibri" w:cs="Calibri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hint="default" w:ascii="Calibri" w:hAnsi="Calibri" w:eastAsia="Calibri" w:cs="Calibri"/>
                                              <w:spacing w:val="0"/>
                                              <w:sz w:val="16"/>
                                              <w:szCs w:val="16"/>
                                            </w:rPr>
                                            <w:t>6</w:t>
                                          </w:r>
                                        </w:p>
                                      </w:tc>
                                    </w:tr>
                                  </w:tbl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动态管理并及时公布信息。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Style w:val="5"/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八、复试工作的组织与管理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学院成立招生工作领导小组、复试小组和复试录取工作督查小组，全权负责研究生复试工作。具体的复试时间请关注学院网站（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http://arts.jmu.edu.cn/yjsjy/zsxx.htm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）复试名单、初试成绩、复试成绩等相关信息均会在此网站公布。其它未尽事宜按《集美大学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2023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年招收攻读硕士学位研究生招生复试录取办法》执行。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 w:line="280" w:lineRule="atLeast"/>
                                      <w:ind w:left="0" w:right="0" w:firstLine="43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院监督电话：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0592-6180105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（闫老师）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before="70" w:beforeAutospacing="0" w:after="70" w:afterAutospacing="0"/>
                                      <w:ind w:left="0" w:right="0" w:firstLine="0"/>
                                      <w:jc w:val="left"/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校监督电话：</w:t>
                                    </w:r>
                                    <w:r>
                                      <w:rPr>
                                        <w:rFonts w:hint="default" w:ascii="Calibri" w:hAnsi="Calibri" w:eastAsia="Calibri" w:cs="Calibri"/>
                                        <w:sz w:val="27"/>
                                        <w:szCs w:val="27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0592-6181580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（纪委）、</w:t>
                                    </w:r>
                                    <w:r>
                                      <w:rPr>
                                        <w:rFonts w:hint="default" w:ascii="Times New Roman" w:hAnsi="Times New Roman" w:eastAsia="Calibri" w:cs="Times New Roman"/>
                                        <w:spacing w:val="0"/>
                                        <w:sz w:val="21"/>
                                        <w:szCs w:val="21"/>
                                      </w:rPr>
                                      <w:t>0592-6182393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（招生办）。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80" w:lineRule="atLeast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pacing w:val="0"/>
                                        <w:sz w:val="21"/>
                                        <w:szCs w:val="21"/>
                                      </w:rPr>
                                      <w:t>九、</w:t>
                                    </w:r>
                                    <w:r>
                                      <w:rPr>
                                        <w:rFonts w:hint="eastAsia" w:ascii="宋体" w:hAnsi="宋体" w:eastAsia="宋体" w:cs="宋体"/>
                                        <w:spacing w:val="0"/>
                                        <w:sz w:val="21"/>
                                        <w:szCs w:val="21"/>
                                      </w:rPr>
                                      <w:t>面试人员信息公示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jc w:val="center"/>
                                    </w:pPr>
                                    <w:r>
                                      <w:rPr>
                                        <w:sz w:val="21"/>
                                        <w:szCs w:val="21"/>
                                      </w:rPr>
                                      <w:drawing>
                                        <wp:inline distT="0" distB="0" distL="114300" distR="114300">
                                          <wp:extent cx="4762500" cy="1838325"/>
                                          <wp:effectExtent l="0" t="0" r="0" b="3175"/>
                                          <wp:docPr id="1" name="图片 1" descr="IMG_25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" name="图片 1" descr="IMG_256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4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4762500" cy="18383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D9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2023-05-16T06:51:12Z</dcterms:created>
  <dc:creator>86188</dc:creator>
  <cp:lastModifiedBy>随风而动</cp:lastModifiedBy>
  <dcterms:modified xsi:type="dcterms:W3CDTF">2023-05-16T06:51:15Z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