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jc w:val="center"/>
        <w:rPr>
          <w:rFonts w:ascii="微软雅黑" w:hAnsi="微软雅黑" w:eastAsia="微软雅黑" w:cs="微软雅黑"/>
          <w:b/>
          <w:bCs/>
          <w:color w:val="000000"/>
          <w:sz w:val="28"/>
          <w:szCs w:val="28"/>
        </w:rPr>
      </w:pPr>
      <w:r>
        <w:rPr>
          <w:rFonts w:hint="eastAsia" w:ascii="微软雅黑" w:hAnsi="微软雅黑" w:eastAsia="微软雅黑" w:cs="微软雅黑"/>
          <w:b/>
          <w:bCs/>
          <w:color w:val="000000"/>
          <w:sz w:val="28"/>
          <w:szCs w:val="28"/>
          <w:bdr w:val="none" w:color="auto" w:sz="0" w:space="0"/>
        </w:rPr>
        <w:t>青海民族大学2023年硕士研究生招生调剂工作方案</w:t>
      </w:r>
    </w:p>
    <w:p>
      <w:pPr>
        <w:keepNext w:val="0"/>
        <w:keepLines w:val="0"/>
        <w:widowControl/>
        <w:suppressLineNumbers w:val="0"/>
        <w:pBdr>
          <w:top w:val="none" w:color="auto" w:sz="0" w:space="0"/>
          <w:bottom w:val="double" w:color="770000" w:sz="6" w:space="6"/>
        </w:pBdr>
        <w:spacing w:line="480" w:lineRule="atLeast"/>
        <w:jc w:val="center"/>
        <w:rPr>
          <w:rFonts w:hint="eastAsia" w:ascii="微软雅黑" w:hAnsi="微软雅黑" w:eastAsia="微软雅黑" w:cs="微软雅黑"/>
          <w:sz w:val="19"/>
          <w:szCs w:val="19"/>
        </w:rPr>
      </w:pPr>
      <w:r>
        <w:rPr>
          <w:rFonts w:hint="eastAsia" w:ascii="微软雅黑" w:hAnsi="微软雅黑" w:eastAsia="微软雅黑" w:cs="微软雅黑"/>
          <w:kern w:val="0"/>
          <w:sz w:val="19"/>
          <w:szCs w:val="19"/>
          <w:lang w:val="en-US" w:eastAsia="zh-CN" w:bidi="ar"/>
        </w:rPr>
        <w:t>来源：   时间：2023-04-05   点击数：40200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b w:val="0"/>
          <w:bCs w:val="0"/>
          <w:sz w:val="21"/>
          <w:szCs w:val="21"/>
        </w:rPr>
      </w:pPr>
      <w:r>
        <w:rPr>
          <w:rFonts w:ascii="仿宋" w:hAnsi="仿宋" w:eastAsia="仿宋" w:cs="仿宋"/>
          <w:b w:val="0"/>
          <w:bCs w:val="0"/>
          <w:sz w:val="25"/>
          <w:szCs w:val="25"/>
          <w:bdr w:val="none" w:color="auto" w:sz="0" w:space="0"/>
        </w:rPr>
        <w:t>根据教育部《</w:t>
      </w:r>
      <w:r>
        <w:rPr>
          <w:rFonts w:hint="eastAsia" w:ascii="仿宋" w:hAnsi="仿宋" w:eastAsia="仿宋" w:cs="仿宋"/>
          <w:b w:val="0"/>
          <w:bCs w:val="0"/>
          <w:sz w:val="25"/>
          <w:szCs w:val="25"/>
          <w:bdr w:val="none" w:color="auto" w:sz="0" w:space="0"/>
        </w:rPr>
        <w:t>2023年全国硕士研究生招生工作管理规定》（教学函〔2022〕3号）和《教育部办公厅关于做好硕士研究生招生调剂工作的通知》（教学厅函〔2018〕14号）等文件精神，为做好我校硕士研究生招生调剂工作，特制定本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b w:val="0"/>
          <w:bCs w:val="0"/>
          <w:sz w:val="21"/>
          <w:szCs w:val="21"/>
        </w:rPr>
      </w:pPr>
      <w:r>
        <w:rPr>
          <w:b w:val="0"/>
          <w:bCs w:val="0"/>
          <w:sz w:val="25"/>
          <w:szCs w:val="25"/>
          <w:bdr w:val="none" w:color="auto" w:sz="0" w:space="0"/>
        </w:rPr>
        <w:t>一、调剂条件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1.满足《2023年全国硕士研究生招生工作管理规定》相关调剂要求且符合我校专业报考条件。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2.初试成绩达到教育部《2023年全国硕士研究生招生考试考生进入复试的初试成绩基本要求（B类考生）》。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4.初试科目与调入专业初试科目相同或相近,其中初试全国统一命题科目应与调入专业全国统一命题科目相同(考生初试统考科目涵盖调入专业所有统考科目的，视为相同)。在全国统一命题科目中，201-英语一、204-英语二可视为相同;301-数学一、302-数学二、303-数学三、314-数学(农)和396-经济类综合能力可视为相同（自命题数学与统考数学类科目不可视为相同）。优先调剂考试科目相同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5.第一志愿报考照顾专业体育学及体育硕士的考生若调剂出该照顾专业，其初试成绩必须达到该专业全国初试成绩基本要求（B类考生）。第一志愿报考非照顾专业的考生若调入该专业，其初试成绩必须符合对应的非照顾专业学科门类（类别）的全国初试成绩基本要求（B类考生）。体育学与体育硕士之间调剂按照专业内部调剂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6.我校接收调剂生的外语考试语种为英语、日语。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7.申请调剂到法律（非法学）专业的考生，第一志愿报考专业也须为法律（非法学），且不得调入其他专业，其他专业的考生也不得调入该专业。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8.申请调剂到非全日制法律（法学）专业的考生，报考类别须为“定向就业”。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9.第一志愿报考公共管理、旅游管理、工程管理、图书情报、审计专业学位硕士的考生，在满足我校公共管理和旅游管理专业学位硕士报考条件、且初试成绩同时符合调出专业和调入专业全国初试成绩基本要求（B类考生）的基础上，可申请相互调剂，但不得调入其他专业；其他专业不得调入以上专业。优先调剂第一志愿报考专业与调入专业一致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凡调剂至我校公共管理、旅游管理专业学位硕士的考生，复试时均须提供在职证明。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10. 同等条件下，本科专业和报考专业相同或相近的考生优先调剂；专业课初试成绩优异、英语通过CET-4及以上、取得相关执业资格认证或科研成绩突出者优先调剂。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11.报考“退役大学生士兵”专项计划与普通计划之间互相调剂的考生，均须通过“全国硕士生招生调剂服务系统”进行。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第一志愿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第一志愿报考普通计划的考生，若符合“退役大学生士兵”专项计划报考条件，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ascii="黑体" w:hAnsi="宋体" w:eastAsia="黑体" w:cs="黑体"/>
          <w:sz w:val="25"/>
          <w:szCs w:val="25"/>
          <w:bdr w:val="none" w:color="auto" w:sz="0" w:space="0"/>
        </w:rPr>
        <w:t>二、</w:t>
      </w:r>
      <w:r>
        <w:rPr>
          <w:rFonts w:hint="eastAsia" w:ascii="黑体" w:hAnsi="宋体" w:eastAsia="黑体" w:cs="黑体"/>
          <w:sz w:val="25"/>
          <w:szCs w:val="25"/>
          <w:bdr w:val="none" w:color="auto" w:sz="0" w:space="0"/>
        </w:rPr>
        <w:t>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1.考生通过中国研究生招生信息网“全国硕士生招生调剂服务系统”（以下简称“调剂系统”），填报调剂志愿。我校不接受电话、电子邮件、纸质等方式的调剂意向。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2.对于审核通过的考生，各学院通过“调剂系统”向考生发送复试通知。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3.接到调剂复试通知的考生，在规定时间内进入“调剂系统”进行确认，逾期未进行确认的考生视为自动放弃我校调剂复试资格。24小时后，仍未接到复试通知的考生，调剂志愿自动解锁，可填报其他学校。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4.调剂复试结束后，研究生院审核各学院提交的拟录取名单，并在“调剂系统”中向审核通过的拟录取调剂考生发送待录取通知。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5.接到我校待录取通知的调剂考生，在8小时内通过“调剂系统”确认待录取通知，逾期未确认待录取的考生，学校取消其待录取资格。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黑体" w:hAnsi="宋体" w:eastAsia="黑体" w:cs="黑体"/>
          <w:sz w:val="25"/>
          <w:szCs w:val="25"/>
          <w:bdr w:val="none" w:color="auto" w:sz="0" w:space="0"/>
        </w:rPr>
        <w:t>三、其他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1.调剂工作由专业归属学院具体负责，研究生院审核后，办理相关手续。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2.所有调剂考生，包括接收外单位调剂考生、接收本单位内部调剂考生，以及报考“退役大学生士兵”专项计划与普通计划之间调剂的考生，必须通过教育部指定的“调剂系统”进行，未通过该系统调剂录取的考生一律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3. 开放调剂系统持续时间为15个小时。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黑体" w:hAnsi="宋体" w:eastAsia="黑体" w:cs="黑体"/>
          <w:sz w:val="25"/>
          <w:szCs w:val="25"/>
          <w:bdr w:val="none" w:color="auto" w:sz="0" w:space="0"/>
        </w:rPr>
        <w:t>四、接收调剂开放时间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我校系统内接收调剂开放时间：4月7日14:00至4月8日05:00。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黑体" w:hAnsi="宋体" w:eastAsia="黑体" w:cs="黑体"/>
          <w:sz w:val="25"/>
          <w:szCs w:val="25"/>
          <w:bdr w:val="none" w:color="auto" w:sz="0" w:space="0"/>
        </w:rPr>
        <w:t>五、招生学院咨询方式</w:t>
      </w:r>
    </w:p>
    <w:tbl>
      <w:tblPr>
        <w:tblW w:w="6732"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3044"/>
        <w:gridCol w:w="37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8" w:hRule="atLeast"/>
          <w:tblCellSpacing w:w="0" w:type="dxa"/>
        </w:trPr>
        <w:tc>
          <w:tcPr>
            <w:tcW w:w="3024"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Style w:val="6"/>
                <w:rFonts w:ascii="华文仿宋" w:hAnsi="华文仿宋" w:eastAsia="华文仿宋" w:cs="华文仿宋"/>
                <w:sz w:val="19"/>
                <w:szCs w:val="19"/>
                <w:bdr w:val="none" w:color="auto" w:sz="0" w:space="0"/>
              </w:rPr>
              <w:t>招生学院</w:t>
            </w:r>
          </w:p>
        </w:tc>
        <w:tc>
          <w:tcPr>
            <w:tcW w:w="3708" w:type="dxa"/>
            <w:tcBorders>
              <w:top w:val="single" w:color="000000" w:sz="4" w:space="0"/>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Style w:val="6"/>
                <w:rFonts w:hint="eastAsia" w:ascii="华文仿宋" w:hAnsi="华文仿宋" w:eastAsia="华文仿宋" w:cs="华文仿宋"/>
                <w:sz w:val="19"/>
                <w:szCs w:val="19"/>
                <w:bdr w:val="none" w:color="auto" w:sz="0" w:space="0"/>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藏学院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0971-8801496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经济与管理学院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0971-8816921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法学院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0971-8804644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政治与公共管理学院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0971-8801655转603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民族学与社会学学院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0971-8804651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艺术学院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19397112035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马克思主义学院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0971-8801256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教师教育学院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0971－6288701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体育学院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13086276276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文学与新闻传播学院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0971-5508913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外国语学院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bdr w:val="none" w:color="auto" w:sz="0" w:space="0"/>
              </w:rPr>
              <w:t>13327640112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数学与统计学院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0971-8804650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物理与电子信息工程学院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0971-8808773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计算机学院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0971-8804033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化学化工学院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0971-8173864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土木与交通工程学院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0971-8562878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药学院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0971-3537926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生态环境与资源学院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0971-8801739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8" w:hRule="atLeast"/>
          <w:tblCellSpacing w:w="0" w:type="dxa"/>
        </w:trPr>
        <w:tc>
          <w:tcPr>
            <w:tcW w:w="3024" w:type="dxa"/>
            <w:tcBorders>
              <w:top w:val="nil"/>
              <w:left w:val="single" w:color="000000" w:sz="4" w:space="0"/>
              <w:bottom w:val="single" w:color="000000" w:sz="4" w:space="0"/>
              <w:right w:val="single" w:color="000000" w:sz="4" w:space="0"/>
            </w:tcBorders>
            <w:shd w:val="clear" w:color="auto" w:fill="FFFFFF"/>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旅游学院</w:t>
            </w:r>
          </w:p>
        </w:tc>
        <w:tc>
          <w:tcPr>
            <w:tcW w:w="3708"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textAlignment w:val="center"/>
            </w:pPr>
            <w:r>
              <w:rPr>
                <w:rFonts w:hint="eastAsia" w:ascii="仿宋" w:hAnsi="仿宋" w:eastAsia="仿宋" w:cs="仿宋"/>
                <w:sz w:val="16"/>
                <w:szCs w:val="16"/>
                <w:bdr w:val="none" w:color="auto" w:sz="0" w:space="0"/>
              </w:rPr>
              <w:t>0971-8129489</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咨询网页：</w:t>
      </w:r>
      <w:r>
        <w:rPr>
          <w:color w:val="333333"/>
          <w:sz w:val="21"/>
          <w:szCs w:val="21"/>
          <w:u w:val="none"/>
          <w:bdr w:val="none" w:color="auto" w:sz="0" w:space="0"/>
        </w:rPr>
        <w:fldChar w:fldCharType="begin"/>
      </w:r>
      <w:r>
        <w:rPr>
          <w:color w:val="333333"/>
          <w:sz w:val="21"/>
          <w:szCs w:val="21"/>
          <w:u w:val="none"/>
          <w:bdr w:val="none" w:color="auto" w:sz="0" w:space="0"/>
        </w:rPr>
        <w:instrText xml:space="preserve"> HYPERLINK "http://yjsy.qhmu.edu.cn/" </w:instrText>
      </w:r>
      <w:r>
        <w:rPr>
          <w:color w:val="333333"/>
          <w:sz w:val="21"/>
          <w:szCs w:val="21"/>
          <w:u w:val="none"/>
          <w:bdr w:val="none" w:color="auto" w:sz="0" w:space="0"/>
        </w:rPr>
        <w:fldChar w:fldCharType="separate"/>
      </w:r>
      <w:r>
        <w:rPr>
          <w:rStyle w:val="7"/>
          <w:rFonts w:hint="eastAsia" w:ascii="仿宋" w:hAnsi="仿宋" w:eastAsia="仿宋" w:cs="仿宋"/>
          <w:color w:val="000000"/>
          <w:sz w:val="25"/>
          <w:szCs w:val="25"/>
          <w:u w:val="single"/>
          <w:bdr w:val="none" w:color="auto" w:sz="0" w:space="0"/>
        </w:rPr>
        <w:t>http://yjsy.qhmu.edu.cn/</w:t>
      </w:r>
      <w:r>
        <w:rPr>
          <w:color w:val="333333"/>
          <w:sz w:val="21"/>
          <w:szCs w:val="21"/>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咨询时间：工作日8:30-12:10 14:10-17:30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黑体" w:hAnsi="宋体" w:eastAsia="黑体" w:cs="黑体"/>
          <w:sz w:val="25"/>
          <w:szCs w:val="25"/>
          <w:bdr w:val="none" w:color="auto" w:sz="0" w:space="0"/>
        </w:rPr>
        <w:t>六、学校咨询方式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地址：青海省西宁市八一中路3号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邮箱：</w:t>
      </w:r>
      <w:r>
        <w:rPr>
          <w:color w:val="333333"/>
          <w:sz w:val="21"/>
          <w:szCs w:val="21"/>
          <w:u w:val="none"/>
          <w:bdr w:val="none" w:color="auto" w:sz="0" w:space="0"/>
        </w:rPr>
        <w:fldChar w:fldCharType="begin"/>
      </w:r>
      <w:r>
        <w:rPr>
          <w:color w:val="333333"/>
          <w:sz w:val="21"/>
          <w:szCs w:val="21"/>
          <w:u w:val="none"/>
          <w:bdr w:val="none" w:color="auto" w:sz="0" w:space="0"/>
        </w:rPr>
        <w:instrText xml:space="preserve"> HYPERLINK "mailto:yz10748@126.com" </w:instrText>
      </w:r>
      <w:r>
        <w:rPr>
          <w:color w:val="333333"/>
          <w:sz w:val="21"/>
          <w:szCs w:val="21"/>
          <w:u w:val="none"/>
          <w:bdr w:val="none" w:color="auto" w:sz="0" w:space="0"/>
        </w:rPr>
        <w:fldChar w:fldCharType="separate"/>
      </w:r>
      <w:r>
        <w:rPr>
          <w:rStyle w:val="7"/>
          <w:rFonts w:hint="eastAsia" w:ascii="仿宋" w:hAnsi="仿宋" w:eastAsia="仿宋" w:cs="仿宋"/>
          <w:color w:val="000000"/>
          <w:sz w:val="25"/>
          <w:szCs w:val="25"/>
          <w:u w:val="single"/>
          <w:bdr w:val="none" w:color="auto" w:sz="0" w:space="0"/>
        </w:rPr>
        <w:t>yz10748@126.com</w:t>
      </w:r>
      <w:r>
        <w:rPr>
          <w:color w:val="333333"/>
          <w:sz w:val="21"/>
          <w:szCs w:val="21"/>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516" w:right="0"/>
        <w:jc w:val="both"/>
      </w:pPr>
      <w:r>
        <w:rPr>
          <w:rFonts w:hint="eastAsia" w:ascii="仿宋" w:hAnsi="仿宋" w:eastAsia="仿宋" w:cs="仿宋"/>
          <w:sz w:val="25"/>
          <w:szCs w:val="25"/>
          <w:bdr w:val="none" w:color="auto" w:sz="0" w:space="0"/>
        </w:rPr>
        <w:t>电话：0971-8237294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pPr>
      <w:r>
        <w:rPr>
          <w:rFonts w:hint="eastAsia" w:ascii="仿宋" w:hAnsi="仿宋" w:eastAsia="仿宋" w:cs="仿宋"/>
          <w:sz w:val="25"/>
          <w:szCs w:val="25"/>
          <w:bdr w:val="none" w:color="auto" w:sz="0" w:space="0"/>
        </w:rPr>
        <w:t>咨询时间：工作日8:30-12:10 14:10-17:30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rPr>
          <w:b w:val="0"/>
          <w:bCs w:val="0"/>
          <w:sz w:val="21"/>
          <w:szCs w:val="21"/>
        </w:rPr>
      </w:pPr>
      <w:r>
        <w:rPr>
          <w:rStyle w:val="6"/>
          <w:rFonts w:hint="eastAsia" w:ascii="黑体" w:hAnsi="宋体" w:eastAsia="黑体" w:cs="黑体"/>
          <w:b/>
          <w:sz w:val="25"/>
          <w:szCs w:val="25"/>
          <w:bdr w:val="none" w:color="auto" w:sz="0" w:space="0"/>
        </w:rPr>
        <w:t>   未尽事宜以</w:t>
      </w:r>
      <w:r>
        <w:rPr>
          <w:rStyle w:val="6"/>
          <w:b/>
          <w:sz w:val="25"/>
          <w:szCs w:val="25"/>
          <w:bdr w:val="none" w:color="auto" w:sz="0" w:space="0"/>
        </w:rPr>
        <w:t>《</w:t>
      </w:r>
      <w:r>
        <w:rPr>
          <w:rStyle w:val="6"/>
          <w:rFonts w:hint="eastAsia" w:ascii="黑体" w:hAnsi="宋体" w:eastAsia="黑体" w:cs="黑体"/>
          <w:b/>
          <w:sz w:val="25"/>
          <w:szCs w:val="25"/>
          <w:bdr w:val="none" w:color="auto" w:sz="0" w:space="0"/>
        </w:rPr>
        <w:t>青海民族大学2023年硕士研究生招生复试录取工作方案</w:t>
      </w:r>
      <w:r>
        <w:rPr>
          <w:rStyle w:val="6"/>
          <w:b/>
          <w:sz w:val="25"/>
          <w:szCs w:val="25"/>
          <w:bdr w:val="none" w:color="auto" w:sz="0" w:space="0"/>
        </w:rPr>
        <w:t>》为准。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7BD5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2016</Words>
  <Characters>2400</Characters>
  <Lines>0</Lines>
  <Paragraphs>0</Paragraphs>
  <TotalTime>0</TotalTime>
  <ScaleCrop>false</ScaleCrop>
  <LinksUpToDate>false</LinksUpToDate>
  <CharactersWithSpaces>2413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2023-05-17T09:05:18Z</dcterms:created>
  <dc:creator>DELL</dc:creator>
  <cp:lastModifiedBy>曾经的那个老吴</cp:lastModifiedBy>
  <dcterms:modified xsi:type="dcterms:W3CDTF">2023-05-17T09:05:20Z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7F7270ED20EB4566ADA38BFCAB12D012_12</vt:lpwstr>
  </property>
</Properties>
</file>