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黑龙江科技大学环境与化工学院2023年硕士研究生招生复试及调剂录取工作实施细则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2023-03-23 14:21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Style w:val="5"/>
                <w:rFonts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黑龙江科技大学环境与化工学院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Style w:val="5"/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sz w:val="25"/>
                <w:szCs w:val="25"/>
              </w:rPr>
              <w:t>2023年硕士研究生招生复试及调剂录取工作实施细则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根据教育部《</w:t>
            </w:r>
            <w:r>
              <w:rPr>
                <w:rFonts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年全国硕士研究生招生工作管理规定》（教学函〔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2022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〕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号）、教育部高校学生司《关于做好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年全国硕士研究生复试录取工作的通知》（教学司〔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〕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号）文件要求，按照《黑龙江科技大学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年硕士研究生复试录取工作办法》，为做好我院硕士研究生招生复试及调剂录取工作，特制订本实施细则。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44"/>
              <w:jc w:val="left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一、工作原则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（1）落实立德树人根本任务，牢固树立“考试招生也是育人”理念，坚持综合评价、择优录取、宁缺毋滥原则。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（2）根据培养目标要求、学科专业特点和办学特色等合理设计复试内容和复试方式，突出对考生创新能力、专业素养和综合素质等方面考查，促进拔尖创新人才脱颖而出。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（3）复试录取过程政策透明、程序规范、操作公开、监督机制健全，提高服务意识，维护考生合法权益。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44"/>
              <w:jc w:val="left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二、组织领导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1、成立研究生复试工作领导小组。由学院院长任组长、主管院长担任副组长，相关招生学科（类别）负责人、导师代表为成员，设联络员1名。具体工作职责：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（1）制定复试录取工作实施细则，在复试前报学校硕士研究生招生工作领导小组办公室审定后，在学院、研究生院网站向考生和社会公布；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2）遴选复试工作经验丰富、业务水平高、公道正派的人员建立复试评委库。对进入复试评委库的所有人员进行纪律、政策、业务等方面培训，明确工作纪律和工作程序、评判规则和评判标准。明晰招生导师在复试工作中的权利、责任和纪律要求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（3）根据各学科（类别）特点组建复试工作小组，明确学院对复试方式、考核形式、时间等要求，做好工作布置；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（4）审核各学科（类别）复试工作小组的复试记录、录音录像材料和复试结果，并签署意见；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（5）负责对考生复试结果的必要解释和遗留问题的处理。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2、成立学科研究生复试工作小组。由学科负责人任组长，各硕士研究生指导教师为成员。每个复试小组配备复试秘书一名。主要工作职责：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（1）针对复试方式、学科专业特点和办学特色，精心设计复试内容，应采用综合性、开放性的能力型试题，试题数量充足，同一考题不被重复使用，确保复试考核科学有效、公平公正；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（2）负责考生复试过程的具体实施，复试期间现场文字记录及录音录像；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（3）对复试方式进行充分评估和演练，确保满足复试要求。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44"/>
              <w:jc w:val="left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三、复试分数线及调剂要求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我院化学工程与技术学术学位、资源与环境（环境工程）专业学位复试分数线按照《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2023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年全国硕士研究生招生考试进入复试的初试成绩基本要求》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A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类分数标准划定。</w:t>
            </w:r>
          </w:p>
          <w:tbl>
            <w:tblPr>
              <w:tblW w:w="1200" w:type="dxa"/>
              <w:tblCellSpacing w:w="0" w:type="dxa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72"/>
              <w:gridCol w:w="510"/>
              <w:gridCol w:w="350"/>
              <w:gridCol w:w="350"/>
              <w:gridCol w:w="350"/>
              <w:gridCol w:w="350"/>
              <w:gridCol w:w="43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96" w:hRule="atLeast"/>
                <w:tblCellSpacing w:w="0" w:type="dxa"/>
              </w:trPr>
              <w:tc>
                <w:tcPr>
                  <w:tcW w:w="1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专业代码</w:t>
                  </w:r>
                </w:p>
              </w:tc>
              <w:tc>
                <w:tcPr>
                  <w:tcW w:w="38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专业名称</w:t>
                  </w:r>
                </w:p>
              </w:tc>
              <w:tc>
                <w:tcPr>
                  <w:tcW w:w="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政治</w:t>
                  </w:r>
                </w:p>
              </w:tc>
              <w:tc>
                <w:tcPr>
                  <w:tcW w:w="12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外国语</w:t>
                  </w:r>
                </w:p>
              </w:tc>
              <w:tc>
                <w:tcPr>
                  <w:tcW w:w="1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业务课一</w:t>
                  </w:r>
                </w:p>
              </w:tc>
              <w:tc>
                <w:tcPr>
                  <w:tcW w:w="15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业务课二</w:t>
                  </w:r>
                </w:p>
              </w:tc>
              <w:tc>
                <w:tcPr>
                  <w:tcW w:w="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总分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44" w:hRule="atLeast"/>
                <w:tblCellSpacing w:w="0" w:type="dxa"/>
              </w:trPr>
              <w:tc>
                <w:tcPr>
                  <w:tcW w:w="15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081700</w:t>
                  </w:r>
                </w:p>
              </w:tc>
              <w:tc>
                <w:tcPr>
                  <w:tcW w:w="38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化学工程与技术</w:t>
                  </w:r>
                </w:p>
              </w:tc>
              <w:tc>
                <w:tcPr>
                  <w:tcW w:w="9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38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38</w:t>
                  </w:r>
                </w:p>
              </w:tc>
              <w:tc>
                <w:tcPr>
                  <w:tcW w:w="15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15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9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273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44" w:hRule="atLeast"/>
                <w:tblCellSpacing w:w="0" w:type="dxa"/>
              </w:trPr>
              <w:tc>
                <w:tcPr>
                  <w:tcW w:w="15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085701</w:t>
                  </w:r>
                </w:p>
              </w:tc>
              <w:tc>
                <w:tcPr>
                  <w:tcW w:w="384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资源与环境（环境工程）</w:t>
                  </w:r>
                </w:p>
              </w:tc>
              <w:tc>
                <w:tcPr>
                  <w:tcW w:w="9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38</w:t>
                  </w:r>
                </w:p>
              </w:tc>
              <w:tc>
                <w:tcPr>
                  <w:tcW w:w="120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38</w:t>
                  </w:r>
                </w:p>
              </w:tc>
              <w:tc>
                <w:tcPr>
                  <w:tcW w:w="15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15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57</w:t>
                  </w:r>
                </w:p>
              </w:tc>
              <w:tc>
                <w:tcPr>
                  <w:tcW w:w="96" w:type="dxa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bottom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line="216" w:lineRule="atLeast"/>
                    <w:jc w:val="center"/>
                  </w:pPr>
                  <w:r>
                    <w:rPr>
                      <w:rStyle w:val="5"/>
                      <w:rFonts w:hint="default" w:ascii="仿宋_GB2312" w:hAnsi="仿宋_GB2312" w:eastAsia="仿宋_GB2312" w:cs="仿宋_GB2312"/>
                      <w:b/>
                      <w:bCs/>
                      <w:color w:val="000000"/>
                      <w:sz w:val="16"/>
                      <w:szCs w:val="16"/>
                      <w:bdr w:val="none" w:color="auto" w:sz="0" w:space="0"/>
                    </w:rPr>
                    <w:t>273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before="120" w:beforeAutospacing="0" w:after="0" w:afterAutospacing="0" w:line="216" w:lineRule="atLeast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调剂要求：申请调剂我校的考生必须通过教育部指定的“全国硕士研究生招生考试网上调剂服务系统”（以下简称“调剂系统”）进行。参加调剂考生应满足以下条件：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（1）符合调入专业的报考条件。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（2）初试成绩（含加分，下同）符合第一志愿报考专业在调入地区的全国初试成绩基本要求A类分数标准执行。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（3）调入专业与第一志愿报考专业相同或相近，应在同一学科门类范围内。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4）初试科目与调入专业初试科目相同或相近，其中初试全国统一命题科目应与调入专业全国统一命题科目相同（在全国统一命题科目中，英语一、英语二可视为相同；数学一、数学二、数学三、数学（农）和经济类综合能力可视为相同；数学（农）和化学（农）可视为相同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申请调剂我院的考生调剂志愿锁定时间为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24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小时；我校发出复试通知或待录取通知后，考生须在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小时内进行确认，逾期未确认的视为放弃参加复试或录取资格。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44"/>
              <w:jc w:val="left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四、复试资格审查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学院研究生复试工作领导小组负责组织对考生复试资格的审查，复试前进行资格审查，审查不合格者不予复试。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（一）审查内容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、考生亲笔签名的《考生承诺书》（附件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）、加盖公章的《思想政治素质和品德考核表》（附件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、考生准考证和有效居民身份证。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、考生学历、学位证书或学生证及其相关材料。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）往届生提供毕业证或教育部学历证书电子注册备案表；持在境外获得学历、学位的考生，须提供教育部留学服务中心出具的学历认证报告。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）应届考生需提供学生证、教务部门出具的成绩单原件、教育部学籍在线验证报告。自考生提供《课程合格证明》；网络教育考生提供网络教育高校开具的在籍证明。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、本人手持身份证的照片。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个人简历：含外语能力、科研经历、实践经历等。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（二）审查形式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学院研究生复试工作领导小组通过核查考生资格审查材料，采取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“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四比对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”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（报考库、学籍学历库、人口信息库、诚信档案库数据比对）的方式进行核验。各招生专业复试工作小组采取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“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两识别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”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（人脸识别、人证识别）的措施对考生进行复试现场身份核验，严防复试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“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替考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”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6" w:lineRule="atLeast"/>
              <w:ind w:lef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请参加复试考生提前一天将复试资格审查内容要求的材料扫描后，合成一个清晰的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PDF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文件并命名为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 “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姓名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+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复试资格审查材料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”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发送到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503752862@qq.com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复试具体安排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（一）复试时间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一志愿复试时间：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26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日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化学工程与技术学科、资源与环境（环境工程）专业学位将根据调剂考生情况分批组织复试，并及时在学院网站上向考生公布具体复试时间安排。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（二）复试形式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资源与环境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-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环境工程专业采取线下复试。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化学工程与技术专业采取网络远程复试的形式进行复试。复试平台采用腾讯会议，钉钉做为备用平台。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（三）复试内容与分数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复试内容包括思想政治素质和品德考核、专业素养和能力考核、综合素质和能力考核三部分，复试满分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100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分，低于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60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分为不合格。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、思想政治素质和品德考核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主要考查考生本人的现实表现，包括考生的政治态度、思想表现、道德品质、科学精神、诚实守信、遵纪守法等方面。思想政治素质和品德考核不量化计入复试总成绩，但对思想政治素质和品德考核不合格者不予录取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、专业素养和能力考核：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50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分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主要考查考生专业基础、逻辑思维能力、专业应用能力。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化学工程与技术：《化工原理》专业知识考核（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分）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                 对学科相关知识掌握和利用能力考核（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分）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资源与环境（环境工程）：《环境工程学》专业知识考核（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分）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对专业理论知识的应用和实践能力考核（20分）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、综合素质及能力考核：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50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分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外语能力考核（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20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分）：主要考查考生的外语听力、口语表达等外国语运用能力。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92" w:lineRule="atLeast"/>
              <w:ind w:left="720"/>
              <w:jc w:val="left"/>
              <w:textAlignment w:val="baseline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vertAlign w:val="baseline"/>
              </w:rPr>
              <w:t>综合素质考核（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vertAlign w:val="baseline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vertAlign w:val="baseline"/>
              </w:rPr>
              <w:t>分）：主要考查考生的创新精神及创新能力；在求学或工作阶段的学术成果、科研经历、学科创新竞赛等参与完成情况，包含但不仅限于考生的事业心、责任感、协作性和心理健康情况，人文素质、举止礼仪和表达能力考核等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5130" w:hanging="360"/>
            </w:pP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369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以同等学力参加复试的考生，在复试中须加试两门与报考专业相关的本科主干课程。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369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（四）复试要求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369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、复试成员由复试委员库中随机抽取，每组不少于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名专家，配备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名秘书。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369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、复试工作小组成员有直系亲属或利害关系人报考本专业，执行回避制度。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369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、复试工作小组成员须独立评分，评分记录和考生问答情况记录任何人不得改动。复试过程中禁止单独与考生及其亲属联系。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369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、选择网络平台远程复试的专业，复试小组应集中选择独立安静的复试场所。提前组织网络远程复试模拟演练。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369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5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、采取网络平台远程复试的考生，要选择独立、安静、无干扰的环境作为复试场所。复试过程中，不能有其他人进入复试场所。复试时要准备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“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双机位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”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，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“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第一机位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”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采集考生音、视频源（放置在考生正前方，建议选择笔记本电脑或者带摄像头的台式电脑）；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“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第二机位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”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采集考生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“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第一机位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”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显示器的音、视频源（电脑或手机，放置在考生侧后方，能清晰显示第一机位屏幕内容）；双机位同时登录复试平台。如使用手机作为复试机位，需将手机设置成不可接听来电，复试期间不可接打电话。考生应保持双机位正常工作，机位不正常时，在影响复试效果情况下要及时提醒考生修正。复试后的试题属于秘密级，不能随意泄露，不能对复试环节进行录音录像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369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六、成绩计算及录取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369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考生录取总成绩由初试成绩与复试总成绩按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7:3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比例加权计算，分数计算保留四位小数。按总成绩由高到低依次进行录取，如录取总成绩分数相同，以初试成绩全国统一命题科目总分由高到低依次进行录取。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369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192" w:lineRule="atLeast"/>
              <w:ind w:left="720"/>
              <w:jc w:val="left"/>
              <w:textAlignment w:val="baseline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Style w:val="5"/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vertAlign w:val="baseline"/>
              </w:rPr>
              <w:t>录取总成绩＝初试总分</w:t>
            </w:r>
            <w:r>
              <w:rPr>
                <w:rStyle w:val="5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vertAlign w:val="baseline"/>
              </w:rPr>
              <w:t>/</w:t>
            </w:r>
            <w:r>
              <w:rPr>
                <w:rStyle w:val="5"/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vertAlign w:val="baseline"/>
              </w:rPr>
              <w:t>初试满分×</w:t>
            </w:r>
            <w:r>
              <w:rPr>
                <w:rStyle w:val="5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vertAlign w:val="baseline"/>
              </w:rPr>
              <w:t>100</w:t>
            </w:r>
            <w:r>
              <w:rPr>
                <w:rStyle w:val="5"/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vertAlign w:val="baseline"/>
              </w:rPr>
              <w:t>×</w:t>
            </w:r>
            <w:r>
              <w:rPr>
                <w:rStyle w:val="5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vertAlign w:val="baseline"/>
              </w:rPr>
              <w:t>70%+</w:t>
            </w:r>
            <w:r>
              <w:rPr>
                <w:rStyle w:val="5"/>
                <w:rFonts w:hint="eastAsia" w:ascii="黑体" w:hAnsi="宋体" w:eastAsia="黑体" w:cs="黑体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vertAlign w:val="baseline"/>
              </w:rPr>
              <w:t>复试总成绩×</w:t>
            </w:r>
            <w:r>
              <w:rPr>
                <w:rStyle w:val="5"/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  <w:vertAlign w:val="baseline"/>
              </w:rPr>
              <w:t>30%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369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七、纪律要求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369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（一）所有参与复试的工作人员要严格遵守工作规范和保密纪律，廉洁自律，坚决杜绝徇私舞弊行为，如有违规违纪行为，一经查实，学校将依法依规严肃处理。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369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二）所有参与复试的考生应自觉遵守考试纪律，诚信应考。对在复试过程中有违规违纪行为的考生，一经查实，按照《国家教育考试违规处理办法》《普通高等学校招生违规行为处理暂行办法》等规定严肃处理，取消录取资格，记入《考生考试诚信档案》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369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（三）入学后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个月内，学校要按照《普通高等学校学生管理规定》有关要求，对所有考生进行全面复查。复查不合格的，取消学籍；情节严重的，移交有关部门调查处理。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369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八、其他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369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（一）制定网络远程复试工作应急预案，做好突发情况下的应急处置准备。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369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（二）实行信息公布制度。招生复试及调剂录取细则、调剂通知、拟复试考生名单、拟录取名单等有关内容，及时在我院网站上公布。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3690" w:hanging="36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720"/>
              <w:jc w:val="left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（三）本细则未尽事宜，按《黑龙江科技大学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2023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  <w:t>年硕士研究生复试录取工作办法》及相关政策执行。如有与国家政策文件不一致，以国家政策文件为准。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1" w:after="0" w:afterAutospacing="1" w:line="216" w:lineRule="atLeast"/>
              <w:ind w:left="13690" w:hanging="360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678049D"/>
    <w:multiLevelType w:val="multilevel"/>
    <w:tmpl w:val="A678049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FEC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3682</Words>
  <Characters>3783</Characters>
  <Lines>0</Lines>
  <Paragraphs>0</Paragraphs>
  <TotalTime>0</TotalTime>
  <ScaleCrop>false</ScaleCrop>
  <LinksUpToDate>false</LinksUpToDate>
  <CharactersWithSpaces>3805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2023-05-11T11:50:10Z</dcterms:created>
  <dc:creator>DELL</dc:creator>
  <cp:lastModifiedBy>曾经的那个老吴</cp:lastModifiedBy>
  <dcterms:modified xsi:type="dcterms:W3CDTF">2023-05-11T11:50:12Z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F94FD1CA35584BD89C48171CAC3E437B_12</vt:lpwstr>
  </property>
</Properties>
</file>