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5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945A8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945A8"/>
          <w:spacing w:val="0"/>
          <w:sz w:val="22"/>
          <w:szCs w:val="22"/>
          <w:bdr w:val="none" w:color="auto" w:sz="0" w:space="0"/>
          <w:shd w:val="clear" w:fill="FFFFFF"/>
        </w:rPr>
        <w:t>2023年化学与制药学部硕士研究生招生调剂公告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787878"/>
          <w:spacing w:val="0"/>
          <w:sz w:val="12"/>
          <w:szCs w:val="12"/>
          <w:shd w:val="clear" w:fill="FFFFFF"/>
        </w:rPr>
        <w:t>发布时间：2023-04-01作者：高婷婷出处：化学与制药学部责任编辑：化学与化工学院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2023年全国硕士研究生招生“调剂意向采集服务系统”已开放，我学部有部分专业接收调剂，欢迎广大考生咨询并进行调剂预报名。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一、接受调剂专业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3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1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化学工程与技术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化学工程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二、调剂要求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只接收英语语种调剂，且需符合下列要求：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1、符合我校(院)招生专业的报考条件。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2、初试成绩达到教育部统一规定的A类地区的全国初试成绩基本要求（单科、总分；含退役大学生士兵专项计划调剂考生）。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3、原报考专业与我校(院)招生专业相同或相近，并在同一学科门类范围内。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4、原初试科目与我校(院)初试科目相同或相近，其中初试全国统一命题科目应与我校(院)招生专业全国统一命题科目相同。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5、统考数学一、二之间和英语一、二之间可由高向低调，不可由低向高调。数学一可调至数学二，英语一可调至英语二，不得逆调；不考数学的考生无法调剂到我校(院)考数学的专业。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三、调剂程序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1、符合国家A 区分数线的考生登录“中国研究生招生信息网-全国硕士研究生招生调剂服务系统”，填报调剂信息，完成调剂。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2、学部对考生资格进行初审，确定考生的调剂资格，经研究生处审核后发送复试通知。如考生在规定时间内未完成确认操作，视为自动放弃。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320" w:right="0" w:hanging="32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四、其他说明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1、实际调剂时间、名额以“全国硕士生招生调剂服务系统”发布的信息为准。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2、以上信息若与国家2023年研究生招生调剂政策不符的，以国家政策为准。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3、请提前准备好相关资料，并做好出行规划。如有问题，请及时与我们联系。复试方案详情请见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学院网址：https://hgxy.qlu.edu.cn/2023/0324/c1828a220253/page.htm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28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学校网址：https://yjszs.qlu.edu.cn/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五、联系方式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联系电话：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高老师13573103906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胡老师15508628230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化学与化工学院网站：https://hgxy.qlu.edu.cn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山东省分析测试中心网站：http://www.sdatc.com.cn/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310"/>
        <w:jc w:val="both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研招网站：http://yjszs.qlu.edu.cn/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1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2023-05-23T09:09:25Z</dcterms:created>
  <dc:creator>86188</dc:creator>
  <cp:lastModifiedBy>随风而动</cp:lastModifiedBy>
  <dcterms:modified xsi:type="dcterms:W3CDTF">2023-05-23T09:09:28Z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